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324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B4DD5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9CDD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F5D0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5EAF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8599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432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E1C2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E7845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CD20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6A63B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810A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6A63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6D296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DAD2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B910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BCDB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E8E2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BFAD3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4919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31FE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F6F0B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7DCDFD" w14:textId="77777777" w:rsidR="00C114FF" w:rsidRPr="00BE15AB" w:rsidRDefault="0067262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654223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B1D135" w14:textId="77777777" w:rsidR="00C114FF" w:rsidRPr="00BE15AB" w:rsidRDefault="00672623" w:rsidP="006B50FB">
      <w:pPr>
        <w:pStyle w:val="stylA"/>
      </w:pPr>
      <w:r w:rsidRPr="00BE15AB">
        <w:t>CHARAKTERYSTYKA WETERYNARYJNEGO PRODUKTU LECZNICZEGO</w:t>
      </w:r>
    </w:p>
    <w:p w14:paraId="54B39254" w14:textId="018F0D5B" w:rsidR="00C114FF" w:rsidRPr="00BE15AB" w:rsidRDefault="00672623" w:rsidP="008F7392">
      <w:pPr>
        <w:pStyle w:val="Style1"/>
        <w:ind w:left="0" w:firstLine="0"/>
      </w:pPr>
      <w:r w:rsidRPr="00BE15AB">
        <w:br w:type="page"/>
      </w:r>
      <w:r w:rsidRPr="00BE15AB">
        <w:lastRenderedPageBreak/>
        <w:t>1.</w:t>
      </w:r>
      <w:r w:rsidR="74C4AF75">
        <w:t xml:space="preserve"> </w:t>
      </w:r>
      <w:r w:rsidRPr="00BE15AB">
        <w:tab/>
        <w:t>NAZWA WETERYNARYJNEGO PRODUKTU LECZNICZEGO</w:t>
      </w:r>
    </w:p>
    <w:p w14:paraId="0801839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0CADE0" w14:textId="41B82D20" w:rsidR="00C114FF" w:rsidRDefault="00E066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Elmaro</w:t>
      </w:r>
      <w:r w:rsidRPr="00E06678">
        <w:rPr>
          <w:szCs w:val="22"/>
        </w:rPr>
        <w:t xml:space="preserve"> 10</w:t>
      </w:r>
      <w:r w:rsidR="00B75D49">
        <w:rPr>
          <w:szCs w:val="22"/>
        </w:rPr>
        <w:t> </w:t>
      </w:r>
      <w:r w:rsidRPr="00E06678">
        <w:rPr>
          <w:szCs w:val="22"/>
        </w:rPr>
        <w:t>mg/ml roztwór do wstrzykiwań dla psów i kotów</w:t>
      </w:r>
    </w:p>
    <w:p w14:paraId="3AC28381" w14:textId="77777777" w:rsidR="00E06678" w:rsidRPr="00BE15AB" w:rsidRDefault="00E066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7405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EB4A60" w14:textId="77777777" w:rsidR="00C114FF" w:rsidRPr="00BE15AB" w:rsidRDefault="00672623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6A9134BE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CBCE18" w14:textId="3BCABF0F" w:rsidR="00E06678" w:rsidRDefault="00E06678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Każdy ml roztworu </w:t>
      </w:r>
      <w:r w:rsidRPr="00E06678">
        <w:rPr>
          <w:szCs w:val="22"/>
        </w:rPr>
        <w:t>zawiera:</w:t>
      </w:r>
    </w:p>
    <w:p w14:paraId="1010D161" w14:textId="77777777" w:rsidR="00E06678" w:rsidRDefault="00E066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374C7F" w14:textId="18257156" w:rsidR="00E06678" w:rsidRDefault="00E06678" w:rsidP="00E06678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Substancja czynna:</w:t>
      </w:r>
    </w:p>
    <w:p w14:paraId="081B7B7F" w14:textId="77777777" w:rsidR="00E06678" w:rsidRDefault="00E06678" w:rsidP="00E06678">
      <w:pPr>
        <w:tabs>
          <w:tab w:val="clear" w:pos="567"/>
        </w:tabs>
        <w:spacing w:line="240" w:lineRule="auto"/>
        <w:rPr>
          <w:b/>
          <w:szCs w:val="22"/>
        </w:rPr>
      </w:pPr>
    </w:p>
    <w:p w14:paraId="5B7ED3F4" w14:textId="78580EA8" w:rsidR="00E06678" w:rsidRPr="00953A45" w:rsidRDefault="00E06678" w:rsidP="00E06678">
      <w:pPr>
        <w:tabs>
          <w:tab w:val="clear" w:pos="567"/>
        </w:tabs>
        <w:spacing w:line="240" w:lineRule="auto"/>
        <w:rPr>
          <w:szCs w:val="22"/>
          <w:lang w:eastAsia="en-GB"/>
        </w:rPr>
      </w:pPr>
      <w:r w:rsidRPr="004940A5">
        <w:rPr>
          <w:szCs w:val="22"/>
        </w:rPr>
        <w:t>10</w:t>
      </w:r>
      <w:r w:rsidR="00B75D49">
        <w:rPr>
          <w:szCs w:val="22"/>
        </w:rPr>
        <w:t> </w:t>
      </w:r>
      <w:r w:rsidRPr="004940A5">
        <w:rPr>
          <w:szCs w:val="22"/>
        </w:rPr>
        <w:t>mg maropitant</w:t>
      </w:r>
      <w:r w:rsidR="00E158D0">
        <w:rPr>
          <w:szCs w:val="22"/>
        </w:rPr>
        <w:t>u</w:t>
      </w:r>
      <w:r w:rsidRPr="004940A5">
        <w:rPr>
          <w:szCs w:val="22"/>
        </w:rPr>
        <w:t xml:space="preserve"> </w:t>
      </w:r>
      <w:r w:rsidRPr="00C408EC">
        <w:rPr>
          <w:iCs/>
          <w:szCs w:val="22"/>
        </w:rPr>
        <w:t>(co odpowiada 14,5</w:t>
      </w:r>
      <w:r w:rsidR="00CD6B6D">
        <w:rPr>
          <w:iCs/>
          <w:szCs w:val="22"/>
        </w:rPr>
        <w:t> </w:t>
      </w:r>
      <w:r w:rsidRPr="00C408EC">
        <w:rPr>
          <w:iCs/>
          <w:szCs w:val="22"/>
        </w:rPr>
        <w:t>mg jednowodnego</w:t>
      </w:r>
      <w:r w:rsidR="00C408EC" w:rsidRPr="00C408EC">
        <w:rPr>
          <w:iCs/>
          <w:szCs w:val="22"/>
        </w:rPr>
        <w:t xml:space="preserve"> cytrynianu maropitantu</w:t>
      </w:r>
      <w:r w:rsidRPr="00C408EC">
        <w:rPr>
          <w:iCs/>
          <w:szCs w:val="22"/>
        </w:rPr>
        <w:t>)</w:t>
      </w:r>
      <w:r w:rsidRPr="00E06678">
        <w:rPr>
          <w:iCs/>
          <w:szCs w:val="22"/>
        </w:rPr>
        <w:tab/>
      </w:r>
    </w:p>
    <w:p w14:paraId="31D7257F" w14:textId="745B632E" w:rsidR="00E06678" w:rsidRPr="00E06678" w:rsidRDefault="00E0667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B7764A" w14:textId="385F9136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 xml:space="preserve">Substancje pomocnicze: </w:t>
      </w:r>
    </w:p>
    <w:p w14:paraId="6841A88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5"/>
        <w:gridCol w:w="4116"/>
      </w:tblGrid>
      <w:tr w:rsidR="0099052C" w14:paraId="456A05CD" w14:textId="77777777" w:rsidTr="0005623E">
        <w:tc>
          <w:tcPr>
            <w:tcW w:w="4945" w:type="dxa"/>
            <w:shd w:val="clear" w:color="auto" w:fill="auto"/>
            <w:vAlign w:val="center"/>
          </w:tcPr>
          <w:p w14:paraId="39EA62D6" w14:textId="23466E4E" w:rsidR="00872C48" w:rsidRPr="00BE15AB" w:rsidRDefault="0067262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FDE7CE3" w14:textId="5E7F99B2" w:rsidR="00872C48" w:rsidRPr="00BE15AB" w:rsidRDefault="0067262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 xml:space="preserve">Skład ilościowy, jeśli ta informacja jest niezbędna </w:t>
            </w:r>
            <w:r w:rsidRPr="00187E59">
              <w:rPr>
                <w:b/>
                <w:bCs/>
                <w:iCs/>
                <w:szCs w:val="22"/>
              </w:rPr>
              <w:t>d</w:t>
            </w:r>
            <w:r w:rsidR="001B48EA" w:rsidRPr="00446BA5">
              <w:rPr>
                <w:b/>
                <w:bCs/>
                <w:iCs/>
                <w:szCs w:val="22"/>
              </w:rPr>
              <w:t>o</w:t>
            </w:r>
            <w:r w:rsidRPr="00BE15AB">
              <w:rPr>
                <w:b/>
                <w:bCs/>
                <w:iCs/>
                <w:szCs w:val="22"/>
              </w:rPr>
              <w:t xml:space="preserve"> prawidłowego podania weterynaryjnego produktu leczniczego</w:t>
            </w:r>
          </w:p>
        </w:tc>
      </w:tr>
      <w:tr w:rsidR="0099052C" w14:paraId="4D898D52" w14:textId="77777777" w:rsidTr="0005623E">
        <w:tc>
          <w:tcPr>
            <w:tcW w:w="4945" w:type="dxa"/>
            <w:shd w:val="clear" w:color="auto" w:fill="auto"/>
            <w:vAlign w:val="center"/>
          </w:tcPr>
          <w:p w14:paraId="0F6D74B3" w14:textId="67A9CF24" w:rsidR="00872C48" w:rsidRPr="00BE15AB" w:rsidRDefault="00E06678" w:rsidP="00701108">
            <w:pPr>
              <w:tabs>
                <w:tab w:val="clear" w:pos="567"/>
                <w:tab w:val="left" w:pos="0"/>
              </w:tabs>
              <w:spacing w:before="60" w:after="60"/>
              <w:rPr>
                <w:iCs/>
                <w:szCs w:val="22"/>
              </w:rPr>
            </w:pPr>
            <w:r w:rsidRPr="00E06678">
              <w:rPr>
                <w:szCs w:val="22"/>
              </w:rPr>
              <w:t>Alkohol benzylowy</w:t>
            </w:r>
            <w:r>
              <w:rPr>
                <w:szCs w:val="22"/>
              </w:rPr>
              <w:t xml:space="preserve"> (</w:t>
            </w:r>
            <w:r w:rsidRPr="00E06678">
              <w:rPr>
                <w:szCs w:val="22"/>
              </w:rPr>
              <w:t xml:space="preserve">jako </w:t>
            </w:r>
            <w:r w:rsidR="004A47F8">
              <w:rPr>
                <w:szCs w:val="22"/>
              </w:rPr>
              <w:t>substancja</w:t>
            </w:r>
            <w:r w:rsidR="00701108">
              <w:rPr>
                <w:szCs w:val="22"/>
              </w:rPr>
              <w:t xml:space="preserve"> </w:t>
            </w:r>
            <w:r w:rsidR="004A47F8">
              <w:rPr>
                <w:szCs w:val="22"/>
              </w:rPr>
              <w:t>konserwująca</w:t>
            </w:r>
            <w:r w:rsidRPr="00E06678">
              <w:rPr>
                <w:szCs w:val="22"/>
              </w:rPr>
              <w:t>)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522A7BA" w14:textId="489228AE" w:rsidR="00872C48" w:rsidRPr="00BE15AB" w:rsidRDefault="00E06678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20</w:t>
            </w:r>
            <w:r w:rsidR="002D5B46">
              <w:rPr>
                <w:iCs/>
                <w:szCs w:val="22"/>
              </w:rPr>
              <w:t> </w:t>
            </w:r>
            <w:r>
              <w:rPr>
                <w:iCs/>
                <w:szCs w:val="22"/>
              </w:rPr>
              <w:t>mg</w:t>
            </w:r>
          </w:p>
        </w:tc>
      </w:tr>
      <w:tr w:rsidR="00E06678" w14:paraId="55E2B240" w14:textId="77777777" w:rsidTr="0005623E">
        <w:tc>
          <w:tcPr>
            <w:tcW w:w="4945" w:type="dxa"/>
            <w:shd w:val="clear" w:color="auto" w:fill="auto"/>
            <w:vAlign w:val="center"/>
          </w:tcPr>
          <w:p w14:paraId="30FF5B48" w14:textId="200FFD73" w:rsidR="00512F9C" w:rsidRPr="008F7392" w:rsidRDefault="52D0953B" w:rsidP="00E06678">
            <w:pPr>
              <w:spacing w:before="60" w:after="60"/>
              <w:rPr>
                <w:szCs w:val="22"/>
              </w:rPr>
            </w:pPr>
            <w:r w:rsidRPr="008F7392">
              <w:rPr>
                <w:szCs w:val="22"/>
              </w:rPr>
              <w:t>Sulfobutylobetadeks sodowy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F5DA07D" w14:textId="77777777" w:rsidR="00E06678" w:rsidRPr="00BE15AB" w:rsidRDefault="00E06678" w:rsidP="00E06678">
            <w:pPr>
              <w:spacing w:before="60" w:after="60"/>
              <w:rPr>
                <w:iCs/>
                <w:szCs w:val="22"/>
              </w:rPr>
            </w:pPr>
          </w:p>
        </w:tc>
      </w:tr>
      <w:tr w:rsidR="00E06678" w14:paraId="01083DD2" w14:textId="77777777" w:rsidTr="0005623E">
        <w:trPr>
          <w:trHeight w:val="60"/>
        </w:trPr>
        <w:tc>
          <w:tcPr>
            <w:tcW w:w="4945" w:type="dxa"/>
            <w:shd w:val="clear" w:color="auto" w:fill="auto"/>
            <w:vAlign w:val="center"/>
          </w:tcPr>
          <w:p w14:paraId="74DD2F18" w14:textId="759A0707" w:rsidR="00E06678" w:rsidRPr="00BE15AB" w:rsidRDefault="00E06678" w:rsidP="00E06678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  <w:bCs/>
                <w:szCs w:val="22"/>
                <w:lang w:eastAsia="en-GB"/>
              </w:rPr>
              <w:t>Rozpuszczalnik: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464907F" w14:textId="77777777" w:rsidR="00E06678" w:rsidRPr="00BE15AB" w:rsidRDefault="00E06678" w:rsidP="00E06678">
            <w:pPr>
              <w:spacing w:before="60" w:after="60"/>
              <w:rPr>
                <w:iCs/>
                <w:szCs w:val="22"/>
              </w:rPr>
            </w:pPr>
          </w:p>
        </w:tc>
      </w:tr>
      <w:tr w:rsidR="00E06678" w14:paraId="34891106" w14:textId="77777777" w:rsidTr="0005623E">
        <w:tc>
          <w:tcPr>
            <w:tcW w:w="4945" w:type="dxa"/>
            <w:shd w:val="clear" w:color="auto" w:fill="auto"/>
            <w:vAlign w:val="center"/>
          </w:tcPr>
          <w:p w14:paraId="3438410F" w14:textId="49B37CE4" w:rsidR="00E06678" w:rsidRPr="00BE15AB" w:rsidRDefault="00E06678" w:rsidP="00E06678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rPr>
                <w:szCs w:val="22"/>
                <w:lang w:eastAsia="en-GB"/>
              </w:rPr>
              <w:t>Woda do wstrzykiwań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6D24B6E3" w14:textId="77777777" w:rsidR="00E06678" w:rsidRPr="00BE15AB" w:rsidRDefault="00E06678" w:rsidP="00E06678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944ED5E" w14:textId="4C935C98" w:rsidR="00E06678" w:rsidRPr="00E06678" w:rsidRDefault="00E06678" w:rsidP="00E06678">
      <w:pPr>
        <w:tabs>
          <w:tab w:val="clear" w:pos="567"/>
        </w:tabs>
        <w:spacing w:line="240" w:lineRule="auto"/>
        <w:rPr>
          <w:szCs w:val="22"/>
          <w:lang w:val="en-US" w:eastAsia="en-GB"/>
        </w:rPr>
      </w:pPr>
    </w:p>
    <w:p w14:paraId="234F3179" w14:textId="10F93E09" w:rsidR="00CE447D" w:rsidRDefault="00953A45" w:rsidP="00A9226B">
      <w:pPr>
        <w:tabs>
          <w:tab w:val="clear" w:pos="567"/>
        </w:tabs>
        <w:spacing w:line="240" w:lineRule="auto"/>
        <w:rPr>
          <w:szCs w:val="22"/>
        </w:rPr>
      </w:pPr>
      <w:r w:rsidRPr="00953A45">
        <w:rPr>
          <w:szCs w:val="22"/>
        </w:rPr>
        <w:t>Przejrzysty roztwór, bezbarwny do barwy jasnożółtej</w:t>
      </w:r>
      <w:r>
        <w:rPr>
          <w:szCs w:val="22"/>
        </w:rPr>
        <w:t>.</w:t>
      </w:r>
    </w:p>
    <w:p w14:paraId="1FA4719F" w14:textId="77777777" w:rsidR="00953A45" w:rsidRDefault="00953A4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40CD39" w14:textId="77777777" w:rsidR="00CE447D" w:rsidRPr="00CE447D" w:rsidRDefault="00CE44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D5B805" w14:textId="77777777" w:rsidR="00C114FF" w:rsidRPr="00BE15AB" w:rsidRDefault="00672623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40197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0F4B1D" w14:textId="77777777" w:rsidR="00C114FF" w:rsidRDefault="00672623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4AFE9A0B" w14:textId="77777777" w:rsidR="00E06678" w:rsidRDefault="00E06678" w:rsidP="00B13B6D">
      <w:pPr>
        <w:pStyle w:val="Style1"/>
      </w:pPr>
    </w:p>
    <w:p w14:paraId="5E8BAF22" w14:textId="16E44F1B" w:rsidR="00E06678" w:rsidRPr="003523CB" w:rsidRDefault="00E06678" w:rsidP="003523CB">
      <w:pPr>
        <w:pStyle w:val="Style1"/>
        <w:rPr>
          <w:b w:val="0"/>
          <w:bCs/>
        </w:rPr>
      </w:pPr>
      <w:r w:rsidRPr="00E06678">
        <w:rPr>
          <w:b w:val="0"/>
          <w:bCs/>
        </w:rPr>
        <w:t>Psy i koty.</w:t>
      </w:r>
    </w:p>
    <w:p w14:paraId="21C182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AC34F" w14:textId="77777777" w:rsidR="00C114FF" w:rsidRPr="00BE15AB" w:rsidRDefault="00672623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58B3654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1584A2" w14:textId="0D9A9A6F" w:rsidR="00E86CEE" w:rsidRPr="00E06678" w:rsidRDefault="00E06678" w:rsidP="00E86CEE">
      <w:pPr>
        <w:tabs>
          <w:tab w:val="clear" w:pos="567"/>
        </w:tabs>
        <w:spacing w:line="240" w:lineRule="auto"/>
        <w:rPr>
          <w:b/>
          <w:bCs/>
        </w:rPr>
      </w:pPr>
      <w:bookmarkStart w:id="0" w:name="_Hlk188023594"/>
      <w:r w:rsidRPr="00E06678">
        <w:rPr>
          <w:b/>
          <w:bCs/>
        </w:rPr>
        <w:t>Psy</w:t>
      </w:r>
    </w:p>
    <w:p w14:paraId="153FFAB2" w14:textId="30191874" w:rsidR="004A47F8" w:rsidRPr="004A47F8" w:rsidRDefault="00E158D0" w:rsidP="00696F32">
      <w:pPr>
        <w:pStyle w:val="ListParagraph"/>
        <w:numPr>
          <w:ilvl w:val="0"/>
          <w:numId w:val="4"/>
        </w:num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  <w:lang w:val="pl-PL" w:eastAsia="en-GB"/>
        </w:rPr>
      </w:pPr>
      <w:r>
        <w:rPr>
          <w:szCs w:val="22"/>
          <w:lang w:val="pl-PL" w:eastAsia="en-GB"/>
        </w:rPr>
        <w:t>Leczenie</w:t>
      </w:r>
      <w:r w:rsidR="004A47F8" w:rsidRPr="004A47F8">
        <w:rPr>
          <w:szCs w:val="22"/>
          <w:lang w:val="pl-PL" w:eastAsia="en-GB"/>
        </w:rPr>
        <w:t xml:space="preserve"> i zapobiegani</w:t>
      </w:r>
      <w:r>
        <w:rPr>
          <w:szCs w:val="22"/>
          <w:lang w:val="pl-PL" w:eastAsia="en-GB"/>
        </w:rPr>
        <w:t>e</w:t>
      </w:r>
      <w:r w:rsidR="004A47F8" w:rsidRPr="004A47F8">
        <w:rPr>
          <w:szCs w:val="22"/>
          <w:lang w:val="pl-PL" w:eastAsia="en-GB"/>
        </w:rPr>
        <w:t xml:space="preserve"> nudnościom będącym następstwem chemioterapii.</w:t>
      </w:r>
    </w:p>
    <w:p w14:paraId="528135BC" w14:textId="23955EC8" w:rsidR="004A47F8" w:rsidRPr="004A47F8" w:rsidRDefault="00E158D0" w:rsidP="00696F32">
      <w:pPr>
        <w:pStyle w:val="ListParagraph"/>
        <w:numPr>
          <w:ilvl w:val="0"/>
          <w:numId w:val="4"/>
        </w:num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  <w:lang w:val="pl-PL" w:eastAsia="en-GB"/>
        </w:rPr>
      </w:pPr>
      <w:r>
        <w:rPr>
          <w:szCs w:val="22"/>
          <w:lang w:val="pl-PL" w:eastAsia="en-GB"/>
        </w:rPr>
        <w:t>Z</w:t>
      </w:r>
      <w:r w:rsidR="004A47F8" w:rsidRPr="004A47F8">
        <w:rPr>
          <w:szCs w:val="22"/>
          <w:lang w:val="pl-PL" w:eastAsia="en-GB"/>
        </w:rPr>
        <w:t>apobiegani</w:t>
      </w:r>
      <w:r>
        <w:rPr>
          <w:szCs w:val="22"/>
          <w:lang w:val="pl-PL" w:eastAsia="en-GB"/>
        </w:rPr>
        <w:t>e</w:t>
      </w:r>
      <w:r w:rsidR="004A47F8" w:rsidRPr="004A47F8">
        <w:rPr>
          <w:szCs w:val="22"/>
          <w:lang w:val="pl-PL" w:eastAsia="en-GB"/>
        </w:rPr>
        <w:t xml:space="preserve"> wymiotom z wyjątkiem wymiotów powodowanych chorobą lokomocyjną.</w:t>
      </w:r>
    </w:p>
    <w:p w14:paraId="41F75A8B" w14:textId="2A147983" w:rsidR="004A47F8" w:rsidRPr="004A47F8" w:rsidRDefault="00E158D0" w:rsidP="00696F32">
      <w:pPr>
        <w:pStyle w:val="ListParagraph"/>
        <w:numPr>
          <w:ilvl w:val="0"/>
          <w:numId w:val="4"/>
        </w:num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  <w:lang w:val="pl-PL" w:eastAsia="en-GB"/>
        </w:rPr>
      </w:pPr>
      <w:r>
        <w:rPr>
          <w:szCs w:val="22"/>
          <w:lang w:val="pl-PL" w:eastAsia="en-GB"/>
        </w:rPr>
        <w:t>L</w:t>
      </w:r>
      <w:r w:rsidR="004A47F8" w:rsidRPr="004A47F8">
        <w:rPr>
          <w:szCs w:val="22"/>
          <w:lang w:val="pl-PL" w:eastAsia="en-GB"/>
        </w:rPr>
        <w:t>eczeni</w:t>
      </w:r>
      <w:r>
        <w:rPr>
          <w:szCs w:val="22"/>
          <w:lang w:val="pl-PL" w:eastAsia="en-GB"/>
        </w:rPr>
        <w:t>e</w:t>
      </w:r>
      <w:r w:rsidR="004A47F8" w:rsidRPr="004A47F8">
        <w:rPr>
          <w:szCs w:val="22"/>
          <w:lang w:val="pl-PL" w:eastAsia="en-GB"/>
        </w:rPr>
        <w:t xml:space="preserve"> wymiotów w połączeniu z innymi działaniami wspomagającymi. </w:t>
      </w:r>
    </w:p>
    <w:p w14:paraId="495959E4" w14:textId="36631FD5" w:rsidR="004A47F8" w:rsidRPr="004A47F8" w:rsidRDefault="00E158D0" w:rsidP="00696F32">
      <w:pPr>
        <w:pStyle w:val="ListParagraph"/>
        <w:numPr>
          <w:ilvl w:val="0"/>
          <w:numId w:val="4"/>
        </w:numPr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szCs w:val="22"/>
          <w:lang w:val="pl-PL" w:eastAsia="en-GB"/>
        </w:rPr>
      </w:pPr>
      <w:r>
        <w:rPr>
          <w:szCs w:val="22"/>
          <w:lang w:val="pl-PL" w:eastAsia="en-GB"/>
        </w:rPr>
        <w:t>Z</w:t>
      </w:r>
      <w:r w:rsidR="004A47F8" w:rsidRPr="004A47F8">
        <w:rPr>
          <w:szCs w:val="22"/>
          <w:lang w:val="pl-PL" w:eastAsia="en-GB"/>
        </w:rPr>
        <w:t>apobiegani</w:t>
      </w:r>
      <w:r>
        <w:rPr>
          <w:szCs w:val="22"/>
          <w:lang w:val="pl-PL" w:eastAsia="en-GB"/>
        </w:rPr>
        <w:t>e</w:t>
      </w:r>
      <w:r w:rsidR="004A47F8" w:rsidRPr="004A47F8">
        <w:rPr>
          <w:szCs w:val="22"/>
          <w:lang w:val="pl-PL" w:eastAsia="en-GB"/>
        </w:rPr>
        <w:t xml:space="preserve"> nudnościom i wymiotom w okresie okołooperacyjnym oraz dla złagodzenia </w:t>
      </w:r>
    </w:p>
    <w:p w14:paraId="5BCD92F9" w14:textId="40165F4B" w:rsidR="004A47F8" w:rsidRPr="00CE447D" w:rsidRDefault="004A47F8" w:rsidP="005E1499">
      <w:pPr>
        <w:pStyle w:val="ListParagraph"/>
        <w:tabs>
          <w:tab w:val="clear" w:pos="567"/>
          <w:tab w:val="left" w:pos="708"/>
        </w:tabs>
        <w:autoSpaceDE w:val="0"/>
        <w:autoSpaceDN w:val="0"/>
        <w:adjustRightInd w:val="0"/>
        <w:spacing w:line="240" w:lineRule="auto"/>
        <w:rPr>
          <w:lang w:val="pl-PL" w:eastAsia="en-GB"/>
        </w:rPr>
      </w:pPr>
      <w:r w:rsidRPr="70048C80">
        <w:rPr>
          <w:lang w:val="pl-PL" w:eastAsia="en-GB"/>
        </w:rPr>
        <w:t>efektów ustępowania znieczulenia ogólnego po zastosowaniu agonist</w:t>
      </w:r>
      <w:r w:rsidR="391B2521" w:rsidRPr="70048C80">
        <w:rPr>
          <w:lang w:val="pl-PL" w:eastAsia="en-GB"/>
        </w:rPr>
        <w:t>y</w:t>
      </w:r>
      <w:r w:rsidRPr="70048C80">
        <w:rPr>
          <w:lang w:val="pl-PL" w:eastAsia="en-GB"/>
        </w:rPr>
        <w:t xml:space="preserve"> recep</w:t>
      </w:r>
      <w:r w:rsidR="75725A57" w:rsidRPr="70048C80">
        <w:rPr>
          <w:lang w:val="pl-PL" w:eastAsia="en-GB"/>
        </w:rPr>
        <w:t>tora</w:t>
      </w:r>
      <w:r w:rsidRPr="70048C80">
        <w:rPr>
          <w:lang w:val="pl-PL" w:eastAsia="en-GB"/>
        </w:rPr>
        <w:t xml:space="preserve"> µ</w:t>
      </w:r>
      <w:r w:rsidR="008F7392">
        <w:rPr>
          <w:lang w:val="pl-PL" w:eastAsia="en-GB"/>
        </w:rPr>
        <w:t>-</w:t>
      </w:r>
      <w:r w:rsidRPr="70048C80">
        <w:rPr>
          <w:lang w:val="pl-PL" w:eastAsia="en-GB"/>
        </w:rPr>
        <w:t>opioidow</w:t>
      </w:r>
      <w:r w:rsidR="0EE00463" w:rsidRPr="70048C80">
        <w:rPr>
          <w:lang w:val="pl-PL" w:eastAsia="en-GB"/>
        </w:rPr>
        <w:t>ego</w:t>
      </w:r>
      <w:r w:rsidRPr="70048C80">
        <w:rPr>
          <w:lang w:val="pl-PL" w:eastAsia="en-GB"/>
        </w:rPr>
        <w:t xml:space="preserve"> </w:t>
      </w:r>
      <w:r w:rsidR="3E01F707" w:rsidRPr="70048C80">
        <w:rPr>
          <w:lang w:val="pl-PL" w:eastAsia="en-GB"/>
        </w:rPr>
        <w:t>-</w:t>
      </w:r>
      <w:r w:rsidRPr="70048C80">
        <w:rPr>
          <w:lang w:val="pl-PL" w:eastAsia="en-GB"/>
        </w:rPr>
        <w:t xml:space="preserve"> morfiny.</w:t>
      </w:r>
    </w:p>
    <w:p w14:paraId="06F28C48" w14:textId="77777777" w:rsidR="00CE447D" w:rsidRPr="00CE447D" w:rsidRDefault="00CE447D" w:rsidP="00CE447D">
      <w:pPr>
        <w:pStyle w:val="ListParagraph"/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pl-PL" w:eastAsia="en-GB"/>
        </w:rPr>
      </w:pPr>
    </w:p>
    <w:p w14:paraId="59254A11" w14:textId="2D96D731" w:rsidR="00CE447D" w:rsidRPr="00E06678" w:rsidRDefault="00CE447D" w:rsidP="00CE447D">
      <w:pPr>
        <w:tabs>
          <w:tab w:val="clear" w:pos="567"/>
        </w:tabs>
        <w:spacing w:line="240" w:lineRule="auto"/>
        <w:rPr>
          <w:b/>
          <w:bCs/>
        </w:rPr>
      </w:pPr>
      <w:r>
        <w:rPr>
          <w:b/>
          <w:bCs/>
        </w:rPr>
        <w:t>Koty</w:t>
      </w:r>
    </w:p>
    <w:p w14:paraId="3BF177D1" w14:textId="49673BEB" w:rsidR="004A47F8" w:rsidRPr="00701108" w:rsidRDefault="00E158D0" w:rsidP="00696F32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Z</w:t>
      </w:r>
      <w:r w:rsidR="004A47F8" w:rsidRPr="004A47F8">
        <w:rPr>
          <w:szCs w:val="22"/>
          <w:lang w:val="pl-PL"/>
        </w:rPr>
        <w:t>apobiegani</w:t>
      </w:r>
      <w:r>
        <w:rPr>
          <w:szCs w:val="22"/>
          <w:lang w:val="pl-PL"/>
        </w:rPr>
        <w:t>e</w:t>
      </w:r>
      <w:r w:rsidR="004A47F8" w:rsidRPr="004A47F8">
        <w:rPr>
          <w:szCs w:val="22"/>
          <w:lang w:val="pl-PL"/>
        </w:rPr>
        <w:t xml:space="preserve"> wymiotom i ograniczani</w:t>
      </w:r>
      <w:r>
        <w:rPr>
          <w:szCs w:val="22"/>
          <w:lang w:val="pl-PL"/>
        </w:rPr>
        <w:t>e</w:t>
      </w:r>
      <w:r w:rsidR="004A47F8" w:rsidRPr="004A47F8">
        <w:rPr>
          <w:szCs w:val="22"/>
          <w:lang w:val="pl-PL"/>
        </w:rPr>
        <w:t xml:space="preserve"> nudności z wyjątkiem tych powodowanych chorobą </w:t>
      </w:r>
      <w:r w:rsidR="004A47F8" w:rsidRPr="00701108">
        <w:rPr>
          <w:szCs w:val="22"/>
          <w:lang w:val="pl-PL"/>
        </w:rPr>
        <w:t xml:space="preserve">lokomocyjną. </w:t>
      </w:r>
    </w:p>
    <w:p w14:paraId="7916B87B" w14:textId="7BD88759" w:rsidR="004A47F8" w:rsidRPr="00CE447D" w:rsidRDefault="00E158D0" w:rsidP="00696F32">
      <w:pPr>
        <w:pStyle w:val="ListParagraph"/>
        <w:numPr>
          <w:ilvl w:val="0"/>
          <w:numId w:val="4"/>
        </w:numPr>
        <w:tabs>
          <w:tab w:val="clear" w:pos="567"/>
        </w:tabs>
        <w:spacing w:line="240" w:lineRule="auto"/>
        <w:rPr>
          <w:szCs w:val="22"/>
          <w:lang w:val="pl-PL"/>
        </w:rPr>
      </w:pPr>
      <w:r>
        <w:rPr>
          <w:szCs w:val="22"/>
          <w:lang w:val="pl-PL"/>
        </w:rPr>
        <w:t>L</w:t>
      </w:r>
      <w:r w:rsidR="004A47F8" w:rsidRPr="004A47F8">
        <w:rPr>
          <w:szCs w:val="22"/>
          <w:lang w:val="pl-PL"/>
        </w:rPr>
        <w:t>eczeni</w:t>
      </w:r>
      <w:r>
        <w:rPr>
          <w:szCs w:val="22"/>
          <w:lang w:val="pl-PL"/>
        </w:rPr>
        <w:t>e</w:t>
      </w:r>
      <w:r w:rsidR="004A47F8" w:rsidRPr="004A47F8">
        <w:rPr>
          <w:szCs w:val="22"/>
          <w:lang w:val="pl-PL"/>
        </w:rPr>
        <w:t xml:space="preserve"> wymiotów w połączeniu z innymi działaniami wspomagającymi.</w:t>
      </w:r>
    </w:p>
    <w:bookmarkEnd w:id="0"/>
    <w:p w14:paraId="178E04CF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5B3764" w14:textId="77777777" w:rsidR="00C114FF" w:rsidRPr="00BE15AB" w:rsidRDefault="00672623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0B705CAF" w14:textId="77777777" w:rsidR="00CE447D" w:rsidRDefault="00CE44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B5B0C8" w14:textId="74451AEA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FA3FD8">
        <w:t xml:space="preserve">Nie stosować w przypadkach </w:t>
      </w:r>
      <w:r w:rsidRPr="003A65A4">
        <w:t xml:space="preserve">nadwrażliwości na substancję czynną </w:t>
      </w:r>
      <w:r w:rsidRPr="00FA3FD8">
        <w:t>lub na dowolną substancję pomocniczą.</w:t>
      </w:r>
    </w:p>
    <w:p w14:paraId="484B9C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C5B51F" w14:textId="77777777" w:rsidR="00C114FF" w:rsidRDefault="00672623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2B444DD1" w14:textId="77777777" w:rsidR="00701108" w:rsidRPr="00BE15AB" w:rsidRDefault="00701108" w:rsidP="00B13B6D">
      <w:pPr>
        <w:pStyle w:val="Style1"/>
      </w:pPr>
    </w:p>
    <w:p w14:paraId="26BCA740" w14:textId="7777777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lastRenderedPageBreak/>
        <w:t xml:space="preserve">Wymioty mogą być związane z poważnymi, silnie wyniszczającymi schorzeniami, takimi jak </w:t>
      </w:r>
    </w:p>
    <w:p w14:paraId="2E690217" w14:textId="77777777" w:rsid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>niedrożność przewodu pokarmowego, dlatego też konieczne jest postawienie właściwego rozpoznania.</w:t>
      </w:r>
    </w:p>
    <w:p w14:paraId="19849DCF" w14:textId="7777777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</w:p>
    <w:p w14:paraId="4ED00DDF" w14:textId="53C8874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>
        <w:t xml:space="preserve">Zasady dobrej praktyki weterynaryjnej wskazują, że środki przeciwwymiotne powinny być stosowane </w:t>
      </w:r>
      <w:r w:rsidRPr="004A47F8">
        <w:rPr>
          <w:szCs w:val="22"/>
        </w:rPr>
        <w:t xml:space="preserve">w połączeniu z innymi weterynaryjnymi i wspomagającymi działaniami, takimi jak, zastosowanie </w:t>
      </w:r>
    </w:p>
    <w:p w14:paraId="1EB109B1" w14:textId="77777777" w:rsid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>diety i podanie płynów uzupełniających, odpowiednimi do zwalczania przyczyn wymiotów.</w:t>
      </w:r>
    </w:p>
    <w:p w14:paraId="046874C2" w14:textId="7777777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</w:p>
    <w:p w14:paraId="08CD9170" w14:textId="2BC1D4C2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 xml:space="preserve">Nie zaleca się stosowania </w:t>
      </w:r>
      <w:r>
        <w:rPr>
          <w:szCs w:val="22"/>
        </w:rPr>
        <w:t>weterynaryjnego produktu leczniczego</w:t>
      </w:r>
      <w:r w:rsidRPr="004A47F8">
        <w:rPr>
          <w:szCs w:val="22"/>
        </w:rPr>
        <w:t xml:space="preserve"> przeciw wymiotom </w:t>
      </w:r>
    </w:p>
    <w:p w14:paraId="3D4C28A6" w14:textId="270BE769" w:rsidR="00E86CEE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>powodowanych chorobą lokomocyjną</w:t>
      </w:r>
      <w:r>
        <w:rPr>
          <w:szCs w:val="22"/>
        </w:rPr>
        <w:t>.</w:t>
      </w:r>
    </w:p>
    <w:p w14:paraId="1672E9AB" w14:textId="77777777" w:rsidR="004A47F8" w:rsidRPr="004940A5" w:rsidRDefault="004A47F8" w:rsidP="00FB09EE">
      <w:pPr>
        <w:tabs>
          <w:tab w:val="clear" w:pos="567"/>
        </w:tabs>
        <w:spacing w:line="240" w:lineRule="auto"/>
        <w:rPr>
          <w:szCs w:val="22"/>
        </w:rPr>
      </w:pPr>
    </w:p>
    <w:p w14:paraId="30FF5CB4" w14:textId="77777777" w:rsidR="004A47F8" w:rsidRPr="00701108" w:rsidRDefault="004A47F8" w:rsidP="004A47F8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701108">
        <w:rPr>
          <w:b/>
          <w:bCs/>
          <w:szCs w:val="22"/>
        </w:rPr>
        <w:t>Psy</w:t>
      </w:r>
    </w:p>
    <w:p w14:paraId="4F9429B9" w14:textId="1BAB52E9" w:rsidR="004A47F8" w:rsidRPr="004A47F8" w:rsidRDefault="00701108" w:rsidP="004A47F8">
      <w:pPr>
        <w:tabs>
          <w:tab w:val="clear" w:pos="567"/>
        </w:tabs>
        <w:spacing w:line="240" w:lineRule="auto"/>
        <w:rPr>
          <w:szCs w:val="22"/>
        </w:rPr>
      </w:pPr>
      <w:r w:rsidRPr="00443177">
        <w:rPr>
          <w:szCs w:val="22"/>
        </w:rPr>
        <w:t>Chociaż</w:t>
      </w:r>
      <w:r w:rsidR="004A47F8" w:rsidRPr="004A47F8">
        <w:rPr>
          <w:szCs w:val="22"/>
        </w:rPr>
        <w:t xml:space="preserve"> wykazano skuteczność </w:t>
      </w:r>
      <w:r w:rsidR="004A47F8">
        <w:rPr>
          <w:szCs w:val="22"/>
        </w:rPr>
        <w:t xml:space="preserve">weterynaryjnego produktu leczniczego </w:t>
      </w:r>
      <w:r w:rsidR="004A47F8" w:rsidRPr="004A47F8">
        <w:rPr>
          <w:szCs w:val="22"/>
        </w:rPr>
        <w:t xml:space="preserve">zarówno w leczeniu jak </w:t>
      </w:r>
    </w:p>
    <w:p w14:paraId="0211913A" w14:textId="7777777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 xml:space="preserve">i zapobieganiu wymiotom występującym w następstwie chemioterapii, bardziej skuteczne okazało się </w:t>
      </w:r>
    </w:p>
    <w:p w14:paraId="76FD0A93" w14:textId="7777777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 xml:space="preserve">jego stosowanie zapobiegawcze. Dlatego, zaleca się podawanie tego produktu przeciwwymiotnego </w:t>
      </w:r>
    </w:p>
    <w:p w14:paraId="648BA58F" w14:textId="77777777" w:rsid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  <w:r w:rsidRPr="004A47F8">
        <w:rPr>
          <w:szCs w:val="22"/>
        </w:rPr>
        <w:t>przed zastosowaniem chemioterapeutyku.</w:t>
      </w:r>
    </w:p>
    <w:p w14:paraId="0F37FFE7" w14:textId="77777777" w:rsidR="004A47F8" w:rsidRPr="004A47F8" w:rsidRDefault="004A47F8" w:rsidP="004A47F8">
      <w:pPr>
        <w:tabs>
          <w:tab w:val="clear" w:pos="567"/>
        </w:tabs>
        <w:spacing w:line="240" w:lineRule="auto"/>
        <w:rPr>
          <w:szCs w:val="22"/>
        </w:rPr>
      </w:pPr>
    </w:p>
    <w:p w14:paraId="5C5B4EF7" w14:textId="77777777" w:rsidR="004A47F8" w:rsidRPr="00443177" w:rsidRDefault="004A47F8" w:rsidP="004A47F8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443177">
        <w:rPr>
          <w:b/>
          <w:bCs/>
          <w:szCs w:val="22"/>
        </w:rPr>
        <w:t>Koty</w:t>
      </w:r>
    </w:p>
    <w:p w14:paraId="2057D66C" w14:textId="77777777" w:rsidR="00953A45" w:rsidRPr="00953A45" w:rsidRDefault="00953A45" w:rsidP="00953A45">
      <w:pPr>
        <w:tabs>
          <w:tab w:val="clear" w:pos="567"/>
        </w:tabs>
        <w:spacing w:line="240" w:lineRule="auto"/>
        <w:rPr>
          <w:szCs w:val="22"/>
        </w:rPr>
      </w:pPr>
      <w:r w:rsidRPr="00443177">
        <w:rPr>
          <w:szCs w:val="22"/>
        </w:rPr>
        <w:t>Skuteczność weterynaryjnego produktu leczniczego w łagodzeniu</w:t>
      </w:r>
      <w:r w:rsidRPr="00953A45">
        <w:rPr>
          <w:szCs w:val="22"/>
        </w:rPr>
        <w:t xml:space="preserve"> nudności udowodniono w badaniach z wykorzystaniem modelu (nudności wywołane przez ksylazynę).</w:t>
      </w:r>
    </w:p>
    <w:p w14:paraId="3F2AE7E5" w14:textId="77777777" w:rsidR="00FB09EE" w:rsidRPr="00953A45" w:rsidRDefault="00FB09EE">
      <w:pPr>
        <w:tabs>
          <w:tab w:val="clear" w:pos="567"/>
        </w:tabs>
        <w:spacing w:line="240" w:lineRule="auto"/>
        <w:rPr>
          <w:szCs w:val="22"/>
        </w:rPr>
      </w:pPr>
    </w:p>
    <w:p w14:paraId="2DC034A8" w14:textId="77777777" w:rsidR="00C114FF" w:rsidRPr="00BE15AB" w:rsidRDefault="00672623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1B0EE6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B6589B" w14:textId="77777777" w:rsidR="00C114FF" w:rsidRPr="00BE15AB" w:rsidRDefault="0067262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5D7209D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9FC6B1" w14:textId="204F6168" w:rsidR="00FB09EE" w:rsidRPr="00701108" w:rsidRDefault="004A47F8" w:rsidP="00FB09E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4A47F8">
        <w:rPr>
          <w:szCs w:val="22"/>
          <w:lang w:eastAsia="en-GB"/>
        </w:rPr>
        <w:t>Bezpieczeństwo stosowania weterynaryjnego produktu leczniczego nie zostało określone u psów poniżej 8</w:t>
      </w:r>
      <w:r w:rsidR="00A8683D">
        <w:rPr>
          <w:szCs w:val="22"/>
          <w:lang w:eastAsia="en-GB"/>
        </w:rPr>
        <w:t> </w:t>
      </w:r>
      <w:r w:rsidRPr="004A47F8">
        <w:rPr>
          <w:szCs w:val="22"/>
          <w:lang w:eastAsia="en-GB"/>
        </w:rPr>
        <w:t>tygodnia życia i u kotów młodszych niż 16</w:t>
      </w:r>
      <w:r w:rsidR="00A8683D">
        <w:rPr>
          <w:szCs w:val="22"/>
          <w:lang w:eastAsia="en-GB"/>
        </w:rPr>
        <w:t> </w:t>
      </w:r>
      <w:r w:rsidRPr="004A47F8">
        <w:rPr>
          <w:szCs w:val="22"/>
          <w:lang w:eastAsia="en-GB"/>
        </w:rPr>
        <w:t>tygodni</w:t>
      </w:r>
      <w:r w:rsidR="00701108">
        <w:rPr>
          <w:szCs w:val="22"/>
          <w:lang w:eastAsia="en-GB"/>
        </w:rPr>
        <w:t xml:space="preserve">. </w:t>
      </w:r>
      <w:r w:rsidRPr="004A47F8">
        <w:rPr>
          <w:szCs w:val="22"/>
          <w:lang w:eastAsia="en-GB"/>
        </w:rPr>
        <w:t xml:space="preserve">Należy stosować jedynie po dokonaniu przez lekarza weterynarii </w:t>
      </w:r>
      <w:r w:rsidRPr="004971C2">
        <w:rPr>
          <w:szCs w:val="22"/>
          <w:lang w:eastAsia="en-GB"/>
        </w:rPr>
        <w:t>oceny bilansu korzyści/ryzyka wynikającego ze stosowania produktu</w:t>
      </w:r>
      <w:r>
        <w:rPr>
          <w:szCs w:val="22"/>
          <w:lang w:eastAsia="en-GB"/>
        </w:rPr>
        <w:t>.</w:t>
      </w:r>
    </w:p>
    <w:p w14:paraId="4533E64C" w14:textId="77777777" w:rsidR="00FB09EE" w:rsidRPr="00701108" w:rsidRDefault="00FB09EE" w:rsidP="00FB09E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2"/>
          <w:lang w:eastAsia="en-GB"/>
        </w:rPr>
      </w:pPr>
    </w:p>
    <w:p w14:paraId="4C28F0B7" w14:textId="5DC4274D" w:rsidR="00FB09EE" w:rsidRDefault="004A47F8" w:rsidP="00FB09EE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>
        <w:t>Maropitant jest metabolizowany w wątrobie, dlatego też powinien być on stosowany z zachowaniem ostrożności u</w:t>
      </w:r>
      <w:r w:rsidR="00701108">
        <w:t xml:space="preserve"> </w:t>
      </w:r>
      <w:r w:rsidR="00701108" w:rsidRPr="00443177">
        <w:t xml:space="preserve">zwierząt </w:t>
      </w:r>
      <w:r w:rsidRPr="00443177">
        <w:t>z</w:t>
      </w:r>
      <w:r>
        <w:t xml:space="preserve"> chorobami wątroby. Ponieważ maropitant jest kumulowany w organizmie podczas trwającej 14</w:t>
      </w:r>
      <w:r w:rsidR="00B56081">
        <w:t> </w:t>
      </w:r>
      <w:r>
        <w:t xml:space="preserve">dni terapii ze względu na metaboliczne wysycenie, podczas długotrwającego leczenia, funkcjonowanie wątroby oraz </w:t>
      </w:r>
      <w:r w:rsidR="3445B039">
        <w:t>jakiekolwiek</w:t>
      </w:r>
      <w:r w:rsidR="00A8683D">
        <w:t xml:space="preserve"> </w:t>
      </w:r>
      <w:r>
        <w:t>zdarzenia niepożądane powinny być dokładnie monitorowane.</w:t>
      </w:r>
    </w:p>
    <w:p w14:paraId="429AF98E" w14:textId="77777777" w:rsidR="00701108" w:rsidRPr="00701108" w:rsidRDefault="00701108" w:rsidP="00FB09EE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585A8884" w14:textId="1DACF33D" w:rsidR="004A47F8" w:rsidRPr="00701108" w:rsidRDefault="004A47F8" w:rsidP="004A47F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701108">
        <w:rPr>
          <w:szCs w:val="22"/>
          <w:lang w:eastAsia="en-GB"/>
        </w:rPr>
        <w:t>Z uwagi na powinowactwo maropitantu do kanałów jonowych Ca</w:t>
      </w:r>
      <w:r w:rsidR="009075D5" w:rsidRPr="009075D5">
        <w:rPr>
          <w:szCs w:val="22"/>
          <w:vertAlign w:val="superscript"/>
          <w:lang w:eastAsia="en-GB"/>
        </w:rPr>
        <w:t>2+</w:t>
      </w:r>
      <w:r w:rsidR="009075D5" w:rsidRPr="009075D5">
        <w:rPr>
          <w:szCs w:val="22"/>
          <w:lang w:eastAsia="en-GB"/>
        </w:rPr>
        <w:t xml:space="preserve"> </w:t>
      </w:r>
      <w:r w:rsidRPr="00701108">
        <w:rPr>
          <w:szCs w:val="22"/>
          <w:lang w:eastAsia="en-GB"/>
        </w:rPr>
        <w:t>i K</w:t>
      </w:r>
      <w:r w:rsidR="009075D5" w:rsidRPr="009075D5">
        <w:rPr>
          <w:szCs w:val="22"/>
          <w:vertAlign w:val="superscript"/>
          <w:lang w:eastAsia="en-GB"/>
        </w:rPr>
        <w:t>+</w:t>
      </w:r>
      <w:r w:rsidRPr="00701108">
        <w:rPr>
          <w:szCs w:val="22"/>
          <w:lang w:eastAsia="en-GB"/>
        </w:rPr>
        <w:t xml:space="preserve">, </w:t>
      </w:r>
      <w:r>
        <w:rPr>
          <w:szCs w:val="22"/>
          <w:lang w:eastAsia="en-GB"/>
        </w:rPr>
        <w:t xml:space="preserve">weterynaryjny produkt leczniczy </w:t>
      </w:r>
      <w:r w:rsidRPr="00701108">
        <w:rPr>
          <w:szCs w:val="22"/>
          <w:lang w:eastAsia="en-GB"/>
        </w:rPr>
        <w:t>powin</w:t>
      </w:r>
      <w:r>
        <w:rPr>
          <w:szCs w:val="22"/>
          <w:lang w:eastAsia="en-GB"/>
        </w:rPr>
        <w:t>ien</w:t>
      </w:r>
      <w:r w:rsidRPr="00701108">
        <w:rPr>
          <w:szCs w:val="22"/>
          <w:lang w:eastAsia="en-GB"/>
        </w:rPr>
        <w:t xml:space="preserve"> być stosowan</w:t>
      </w:r>
      <w:r>
        <w:rPr>
          <w:szCs w:val="22"/>
          <w:lang w:eastAsia="en-GB"/>
        </w:rPr>
        <w:t>y</w:t>
      </w:r>
      <w:r w:rsidRPr="00701108">
        <w:rPr>
          <w:szCs w:val="22"/>
          <w:lang w:eastAsia="en-GB"/>
        </w:rPr>
        <w:t xml:space="preserve"> z zachowaniem ostrożności u zwierząt z chorobami serca lub predyspozycjami do chorób serca. W badaniach EKG przeprowadzonych z udziałem zdrowych psów rasy beagle, którym podano doustnie dawkę 8</w:t>
      </w:r>
      <w:r w:rsidR="00B56081">
        <w:rPr>
          <w:szCs w:val="22"/>
          <w:lang w:eastAsia="en-GB"/>
        </w:rPr>
        <w:t> </w:t>
      </w:r>
      <w:r w:rsidRPr="00701108">
        <w:rPr>
          <w:szCs w:val="22"/>
          <w:lang w:eastAsia="en-GB"/>
        </w:rPr>
        <w:t>mg/kg obserwowano około 10% zwiększenie odstępu QT, jednakże jest mało prawdopodobne by taki wzrost był istotny z klinicznego punktu widzenia.</w:t>
      </w:r>
    </w:p>
    <w:p w14:paraId="6FFD1BD4" w14:textId="77777777" w:rsidR="00FB09EE" w:rsidRPr="004940A5" w:rsidRDefault="00FB09EE" w:rsidP="00A9226B">
      <w:pPr>
        <w:tabs>
          <w:tab w:val="clear" w:pos="567"/>
        </w:tabs>
        <w:spacing w:line="240" w:lineRule="auto"/>
      </w:pPr>
    </w:p>
    <w:p w14:paraId="2969EB14" w14:textId="45BAF5E1" w:rsidR="00C114FF" w:rsidRDefault="004A47F8" w:rsidP="00A9226B">
      <w:pPr>
        <w:tabs>
          <w:tab w:val="clear" w:pos="567"/>
        </w:tabs>
        <w:spacing w:line="240" w:lineRule="auto"/>
      </w:pPr>
      <w:r>
        <w:t xml:space="preserve">Ze względu na częste występowanie przemijającego bólu podczas podawania podskórnie produktu, może być konieczne zastosowanie odpowiednich środków poskromienia zwierzęcia. Podanie schłodzonego produktu może </w:t>
      </w:r>
      <w:r w:rsidR="6F80E38C">
        <w:t xml:space="preserve">zmniejszyć </w:t>
      </w:r>
      <w:r w:rsidRPr="009C6319">
        <w:t xml:space="preserve">ból </w:t>
      </w:r>
      <w:r w:rsidR="006A6C1D" w:rsidRPr="009C6319">
        <w:t xml:space="preserve">w miejscu </w:t>
      </w:r>
      <w:r w:rsidR="20BD2655" w:rsidRPr="009C6319">
        <w:t>iniekcji</w:t>
      </w:r>
      <w:r w:rsidRPr="009C6319">
        <w:t>.</w:t>
      </w:r>
    </w:p>
    <w:p w14:paraId="5A2975B9" w14:textId="77777777" w:rsidR="004A47F8" w:rsidRPr="00BE15AB" w:rsidRDefault="004A47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6C399A" w14:textId="77777777" w:rsidR="00C114FF" w:rsidRPr="00BE15AB" w:rsidRDefault="0067262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55EAB2E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F89DCB" w14:textId="2392B771" w:rsidR="004A47F8" w:rsidRDefault="004A47F8" w:rsidP="00497E38">
      <w:pPr>
        <w:tabs>
          <w:tab w:val="clear" w:pos="567"/>
        </w:tabs>
        <w:spacing w:line="240" w:lineRule="auto"/>
      </w:pPr>
      <w:r w:rsidRPr="004A47F8">
        <w:t>Osoby o znanej nadwrażliwości na maropitant</w:t>
      </w:r>
      <w:r>
        <w:t xml:space="preserve"> </w:t>
      </w:r>
      <w:r w:rsidR="006A6C1D">
        <w:t>i</w:t>
      </w:r>
      <w:r w:rsidR="3BFF2470">
        <w:t>/</w:t>
      </w:r>
      <w:r>
        <w:t>lub alkohol benzylowy</w:t>
      </w:r>
      <w:r w:rsidRPr="004A47F8">
        <w:t xml:space="preserve"> powinny </w:t>
      </w:r>
      <w:r w:rsidR="00443177" w:rsidRPr="004A47F8">
        <w:t xml:space="preserve">stosować </w:t>
      </w:r>
      <w:r w:rsidRPr="004A47F8">
        <w:t xml:space="preserve">weterynaryjny produkt leczniczy z zachowaniem ostrożności. </w:t>
      </w:r>
    </w:p>
    <w:p w14:paraId="26D4C14C" w14:textId="77777777" w:rsidR="00701108" w:rsidRDefault="00701108" w:rsidP="00497E38">
      <w:pPr>
        <w:tabs>
          <w:tab w:val="clear" w:pos="567"/>
        </w:tabs>
        <w:spacing w:line="240" w:lineRule="auto"/>
      </w:pPr>
    </w:p>
    <w:p w14:paraId="1E72363A" w14:textId="4F7CC75A" w:rsidR="004A47F8" w:rsidRDefault="004A47F8" w:rsidP="00497E38">
      <w:pPr>
        <w:tabs>
          <w:tab w:val="clear" w:pos="567"/>
        </w:tabs>
        <w:spacing w:line="240" w:lineRule="auto"/>
      </w:pPr>
      <w:r w:rsidRPr="004A47F8">
        <w:t>Należy umyć ręce po podaniu. Po przypadkowej samoiniekcji należy niezwłocznie zwrócić się o pomoc lekarską oraz przestawić lekarzowi ulotkę informacyjną lub opakowanie. W badaniach laboratoryjnych wykazano, że maropitant może powodować podrażnienie oczu. Po przypadkowym dostaniu się produktu do oczu, należy przemyć je obficie wodą i zwrócić się o pomoc lekarską.</w:t>
      </w:r>
    </w:p>
    <w:p w14:paraId="4762215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A5B48A" w14:textId="77777777" w:rsidR="00295140" w:rsidRPr="00BE15AB" w:rsidRDefault="00672623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620BD2DE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A58C73" w14:textId="0A7C7CE2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1F2D0F1D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A98CA6" w14:textId="5E6B464C" w:rsidR="00C114FF" w:rsidRPr="00BE15AB" w:rsidRDefault="00672623" w:rsidP="00B13B6D">
      <w:pPr>
        <w:pStyle w:val="Style1"/>
      </w:pPr>
      <w:r w:rsidRPr="00BE15AB">
        <w:t>3.6</w:t>
      </w:r>
      <w:r w:rsidRPr="00BE15AB">
        <w:tab/>
      </w:r>
      <w:r w:rsidR="00497E38">
        <w:t>Zdarzenia</w:t>
      </w:r>
      <w:r w:rsidRPr="00BE15AB">
        <w:t xml:space="preserve"> niepożądane</w:t>
      </w:r>
    </w:p>
    <w:p w14:paraId="69859039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3FAC554" w14:textId="32647D7D" w:rsidR="00AD0710" w:rsidRPr="00BE15AB" w:rsidRDefault="00497E38" w:rsidP="00AD0710">
      <w:pPr>
        <w:tabs>
          <w:tab w:val="clear" w:pos="567"/>
        </w:tabs>
        <w:spacing w:line="240" w:lineRule="auto"/>
        <w:rPr>
          <w:szCs w:val="22"/>
        </w:rPr>
      </w:pPr>
      <w:r>
        <w:t>Psy i koty:</w:t>
      </w:r>
    </w:p>
    <w:p w14:paraId="06711391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9052C" w14:paraId="05AE75A9" w14:textId="77777777" w:rsidTr="00617B81">
        <w:tc>
          <w:tcPr>
            <w:tcW w:w="1957" w:type="pct"/>
          </w:tcPr>
          <w:p w14:paraId="3B08524E" w14:textId="77777777" w:rsidR="00295140" w:rsidRPr="00BE15AB" w:rsidRDefault="00672623" w:rsidP="00617B81">
            <w:pPr>
              <w:spacing w:before="60" w:after="60"/>
              <w:rPr>
                <w:szCs w:val="22"/>
              </w:rPr>
            </w:pPr>
            <w:r w:rsidRPr="00BE15AB">
              <w:t>Bardzo często</w:t>
            </w:r>
          </w:p>
          <w:p w14:paraId="494A4FC1" w14:textId="77777777" w:rsidR="00295140" w:rsidRPr="00BE15AB" w:rsidRDefault="00672623" w:rsidP="00617B81">
            <w:pPr>
              <w:spacing w:before="60" w:after="60"/>
              <w:rPr>
                <w:szCs w:val="22"/>
              </w:rPr>
            </w:pPr>
            <w:r w:rsidRPr="00BE15AB">
              <w:t>(&gt; 1 zwierzę/10 leczonych zwierząt):</w:t>
            </w:r>
          </w:p>
        </w:tc>
        <w:tc>
          <w:tcPr>
            <w:tcW w:w="3043" w:type="pct"/>
            <w:hideMark/>
          </w:tcPr>
          <w:p w14:paraId="42E27BA6" w14:textId="4C469EA5" w:rsidR="00295140" w:rsidRPr="00BE15AB" w:rsidRDefault="009075D5" w:rsidP="00617B81">
            <w:pPr>
              <w:spacing w:before="60" w:after="60"/>
              <w:rPr>
                <w:iCs/>
                <w:szCs w:val="22"/>
              </w:rPr>
            </w:pPr>
            <w:r w:rsidRPr="009075D5">
              <w:t>Ból w miejscu iniekcji</w:t>
            </w:r>
            <w:r w:rsidRPr="009075D5">
              <w:rPr>
                <w:vertAlign w:val="superscript"/>
              </w:rPr>
              <w:t>1,2</w:t>
            </w:r>
          </w:p>
        </w:tc>
      </w:tr>
      <w:tr w:rsidR="0099052C" w14:paraId="267D6681" w14:textId="77777777" w:rsidTr="00617B81">
        <w:tc>
          <w:tcPr>
            <w:tcW w:w="1957" w:type="pct"/>
          </w:tcPr>
          <w:p w14:paraId="386A408C" w14:textId="77777777" w:rsidR="00295140" w:rsidRPr="00BE15AB" w:rsidRDefault="00672623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5F3B0590" w14:textId="77777777" w:rsidR="00295140" w:rsidRPr="00BE15AB" w:rsidRDefault="00672623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765142D2" w14:textId="05619ECF" w:rsidR="00295140" w:rsidRPr="009075D5" w:rsidRDefault="009075D5" w:rsidP="00617B81">
            <w:pPr>
              <w:spacing w:before="60" w:after="60"/>
            </w:pPr>
            <w:r w:rsidRPr="009075D5">
              <w:t xml:space="preserve">Reakcje typu anafilaktycznego (np. obrzęk alergiczny, pokrzywka, rumień, zapaść krążeniowa, duszność, bladość błon śluzowych) </w:t>
            </w:r>
            <w:r w:rsidR="00F00DB6">
              <w:br/>
            </w:r>
            <w:r w:rsidRPr="009075D5">
              <w:t xml:space="preserve">Letarg </w:t>
            </w:r>
            <w:r w:rsidR="00F00DB6">
              <w:br/>
            </w:r>
            <w:r w:rsidRPr="009075D5">
              <w:t>Zaburzenia neurologiczne (np. ataksja, drgawki, napad padaczkowy, drżenie mięśni)</w:t>
            </w:r>
          </w:p>
        </w:tc>
      </w:tr>
    </w:tbl>
    <w:p w14:paraId="105D04F5" w14:textId="769B7CF2" w:rsidR="00F00DB6" w:rsidRDefault="009075D5" w:rsidP="00AD0710">
      <w:pPr>
        <w:tabs>
          <w:tab w:val="clear" w:pos="567"/>
        </w:tabs>
        <w:spacing w:line="240" w:lineRule="auto"/>
        <w:rPr>
          <w:szCs w:val="22"/>
        </w:rPr>
      </w:pPr>
      <w:r w:rsidRPr="00701108">
        <w:rPr>
          <w:szCs w:val="22"/>
          <w:vertAlign w:val="superscript"/>
        </w:rPr>
        <w:t>1</w:t>
      </w:r>
      <w:r w:rsidR="005F5167">
        <w:rPr>
          <w:szCs w:val="22"/>
        </w:rPr>
        <w:t>U</w:t>
      </w:r>
      <w:r w:rsidRPr="009075D5">
        <w:rPr>
          <w:szCs w:val="22"/>
        </w:rPr>
        <w:t xml:space="preserve"> kotów - umiarkowana do ciężkiej (u około jednej trzeciej kotów), jeżeli podawany jest podskórnie.</w:t>
      </w:r>
    </w:p>
    <w:p w14:paraId="33D23237" w14:textId="46154C25" w:rsidR="00295140" w:rsidRDefault="009075D5" w:rsidP="00AD0710">
      <w:pPr>
        <w:tabs>
          <w:tab w:val="clear" w:pos="567"/>
        </w:tabs>
        <w:spacing w:line="240" w:lineRule="auto"/>
        <w:rPr>
          <w:szCs w:val="22"/>
        </w:rPr>
      </w:pPr>
      <w:r w:rsidRPr="00701108">
        <w:rPr>
          <w:szCs w:val="22"/>
          <w:vertAlign w:val="superscript"/>
        </w:rPr>
        <w:t>2</w:t>
      </w:r>
      <w:r w:rsidR="00B720FC">
        <w:rPr>
          <w:szCs w:val="22"/>
        </w:rPr>
        <w:t>U</w:t>
      </w:r>
      <w:r w:rsidRPr="009075D5">
        <w:rPr>
          <w:szCs w:val="22"/>
        </w:rPr>
        <w:t xml:space="preserve"> psów - jeżeli podawany jest podskórnie.</w:t>
      </w:r>
    </w:p>
    <w:p w14:paraId="02BBA6C6" w14:textId="77777777" w:rsidR="009075D5" w:rsidRPr="00BE15AB" w:rsidRDefault="009075D5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1DD292C" w14:textId="48BA3E9B" w:rsidR="00247A48" w:rsidRDefault="00672623" w:rsidP="00247A48">
      <w:bookmarkStart w:id="1" w:name="_Hlk66891708"/>
      <w:bookmarkStart w:id="2" w:name="_Hlk83115233"/>
      <w:r w:rsidRPr="00783A99">
        <w:t xml:space="preserve">Zgłaszanie </w:t>
      </w:r>
      <w:r w:rsidR="00497E38">
        <w:t>zdarzeń</w:t>
      </w:r>
      <w:r w:rsidR="008D4E61" w:rsidRPr="00783A99">
        <w:t xml:space="preserve"> 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</w:t>
      </w:r>
      <w:r w:rsidR="00050F97" w:rsidRPr="004063BC">
        <w:t xml:space="preserve">Zgłoszenia </w:t>
      </w:r>
      <w:r w:rsidR="00050F97" w:rsidRPr="00446BA5">
        <w:t>najlepiej</w:t>
      </w:r>
      <w:r w:rsidR="00050F97" w:rsidRPr="004063BC">
        <w:t xml:space="preserve"> przesłać za pośrednictwem lekarza weterynarii </w:t>
      </w:r>
      <w:r w:rsidR="00050F97" w:rsidRPr="00D101B6">
        <w:t xml:space="preserve">do </w:t>
      </w:r>
      <w:r w:rsidR="00050F97" w:rsidRPr="00783A99">
        <w:t xml:space="preserve">podmiotu odpowiedzialnego </w:t>
      </w:r>
      <w:r w:rsidR="00050F97">
        <w:t xml:space="preserve">lub do właściwych organów krajowych </w:t>
      </w:r>
      <w:r w:rsidR="00050F97" w:rsidRPr="004063BC">
        <w:t>za pośrednictwem krajowego systemu zgłaszania</w:t>
      </w:r>
      <w:r w:rsidR="00050F97">
        <w:t xml:space="preserve">. </w:t>
      </w:r>
      <w:r w:rsidR="004E719E" w:rsidRPr="004063BC">
        <w:t xml:space="preserve">Właściwe dane kontaktowe znajdują się w </w:t>
      </w:r>
      <w:r w:rsidR="009075D5">
        <w:t>ulotce</w:t>
      </w:r>
      <w:r w:rsidR="004E719E" w:rsidRPr="004063BC">
        <w:t xml:space="preserve"> informacyjnej.</w:t>
      </w:r>
    </w:p>
    <w:p w14:paraId="2D2909E5" w14:textId="77777777" w:rsidR="005D572E" w:rsidRPr="00291744" w:rsidRDefault="005D572E" w:rsidP="00247A48">
      <w:pPr>
        <w:rPr>
          <w:szCs w:val="22"/>
        </w:rPr>
      </w:pPr>
    </w:p>
    <w:bookmarkEnd w:id="1"/>
    <w:bookmarkEnd w:id="2"/>
    <w:p w14:paraId="43552EBB" w14:textId="77777777" w:rsidR="00C114FF" w:rsidRDefault="00672623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60C34ECB" w14:textId="77777777" w:rsidR="009075D5" w:rsidRPr="00BE15AB" w:rsidRDefault="009075D5" w:rsidP="00B13B6D">
      <w:pPr>
        <w:pStyle w:val="Style1"/>
      </w:pPr>
    </w:p>
    <w:p w14:paraId="65852DE2" w14:textId="77777777" w:rsidR="005E1499" w:rsidRDefault="005E1499" w:rsidP="005E14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E1499">
        <w:rPr>
          <w:szCs w:val="22"/>
          <w:u w:val="single"/>
        </w:rPr>
        <w:t>Ciąża i laktacja:</w:t>
      </w:r>
    </w:p>
    <w:p w14:paraId="5C648D7B" w14:textId="77777777" w:rsidR="005E1499" w:rsidRDefault="005E1499" w:rsidP="005E1499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39F0665" w14:textId="77552D9F" w:rsidR="005E1499" w:rsidRPr="00BE15AB" w:rsidRDefault="005E1499" w:rsidP="005E1499">
      <w:pPr>
        <w:tabs>
          <w:tab w:val="clear" w:pos="567"/>
        </w:tabs>
        <w:spacing w:line="240" w:lineRule="auto"/>
        <w:rPr>
          <w:szCs w:val="22"/>
        </w:rPr>
      </w:pPr>
      <w:r w:rsidRPr="00BE15AB">
        <w:t xml:space="preserve">Bezpieczeństwo weterynaryjnego produktu leczniczego stosowanego </w:t>
      </w:r>
      <w:r w:rsidR="00F4586B">
        <w:t>podczas</w:t>
      </w:r>
      <w:r w:rsidRPr="00BE15AB">
        <w:t xml:space="preserve"> ciąży</w:t>
      </w:r>
      <w:r>
        <w:t xml:space="preserve"> i </w:t>
      </w:r>
      <w:r w:rsidRPr="00BE15AB">
        <w:t>laktacji nie zostało określone.</w:t>
      </w:r>
    </w:p>
    <w:p w14:paraId="6ACC11B7" w14:textId="532D6B8A" w:rsidR="009075D5" w:rsidRPr="005E1499" w:rsidRDefault="005E1499" w:rsidP="005E14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5E1499">
        <w:rPr>
          <w:szCs w:val="22"/>
          <w:lang w:eastAsia="en-GB"/>
        </w:rPr>
        <w:t xml:space="preserve">Do stosowania jedynie po dokonaniu przez lekarza weterynarii oceny </w:t>
      </w:r>
      <w:r w:rsidR="00F53C98">
        <w:rPr>
          <w:szCs w:val="22"/>
          <w:lang w:eastAsia="en-GB"/>
        </w:rPr>
        <w:t>stosunku</w:t>
      </w:r>
      <w:r w:rsidRPr="005E1499">
        <w:rPr>
          <w:szCs w:val="22"/>
          <w:lang w:eastAsia="en-GB"/>
        </w:rPr>
        <w:t xml:space="preserve"> korzyści do ryzyka wynikającego ze stosowania produktu</w:t>
      </w:r>
      <w:r>
        <w:rPr>
          <w:szCs w:val="22"/>
          <w:lang w:eastAsia="en-GB"/>
        </w:rPr>
        <w:t>.</w:t>
      </w:r>
    </w:p>
    <w:p w14:paraId="15A02A7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8AB05D" w14:textId="77777777" w:rsidR="00C114FF" w:rsidRPr="00BE15AB" w:rsidRDefault="00672623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03F44F79" w14:textId="77777777" w:rsidR="009075D5" w:rsidRPr="004940A5" w:rsidRDefault="009075D5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3F7C07B" w14:textId="266659CE" w:rsidR="00701108" w:rsidRDefault="00701108" w:rsidP="0070110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Weterynaryjny produkt leczniczy</w:t>
      </w:r>
      <w:r w:rsidRPr="00701108">
        <w:rPr>
          <w:szCs w:val="22"/>
        </w:rPr>
        <w:t xml:space="preserve"> nie powin</w:t>
      </w:r>
      <w:r>
        <w:rPr>
          <w:szCs w:val="22"/>
        </w:rPr>
        <w:t>ien</w:t>
      </w:r>
      <w:r w:rsidRPr="00701108">
        <w:rPr>
          <w:szCs w:val="22"/>
        </w:rPr>
        <w:t xml:space="preserve"> być stosowan</w:t>
      </w:r>
      <w:r>
        <w:rPr>
          <w:szCs w:val="22"/>
        </w:rPr>
        <w:t>y</w:t>
      </w:r>
      <w:r w:rsidRPr="00701108">
        <w:rPr>
          <w:szCs w:val="22"/>
        </w:rPr>
        <w:t xml:space="preserve"> razem z antagonistami kanałów jonowych Ca</w:t>
      </w:r>
      <w:r w:rsidRPr="00701108">
        <w:rPr>
          <w:szCs w:val="22"/>
          <w:vertAlign w:val="superscript"/>
          <w:lang w:eastAsia="en-GB"/>
        </w:rPr>
        <w:t>2+</w:t>
      </w:r>
      <w:r w:rsidRPr="00701108">
        <w:rPr>
          <w:szCs w:val="22"/>
        </w:rPr>
        <w:t>, ponieważ maropitant posiada powinowactwo do kanałów Ca</w:t>
      </w:r>
      <w:r w:rsidRPr="00701108">
        <w:rPr>
          <w:szCs w:val="22"/>
          <w:vertAlign w:val="superscript"/>
          <w:lang w:eastAsia="en-GB"/>
        </w:rPr>
        <w:t>2+</w:t>
      </w:r>
      <w:r w:rsidRPr="00701108">
        <w:rPr>
          <w:szCs w:val="22"/>
        </w:rPr>
        <w:t>.</w:t>
      </w:r>
    </w:p>
    <w:p w14:paraId="07A0CA5F" w14:textId="77777777" w:rsidR="00701108" w:rsidRPr="00701108" w:rsidRDefault="00701108" w:rsidP="00701108">
      <w:pPr>
        <w:tabs>
          <w:tab w:val="clear" w:pos="567"/>
        </w:tabs>
        <w:spacing w:line="240" w:lineRule="auto"/>
        <w:rPr>
          <w:szCs w:val="22"/>
        </w:rPr>
      </w:pPr>
    </w:p>
    <w:p w14:paraId="1EB8E028" w14:textId="24858AAB" w:rsidR="00701108" w:rsidRPr="00701108" w:rsidRDefault="00701108" w:rsidP="00701108">
      <w:pPr>
        <w:tabs>
          <w:tab w:val="clear" w:pos="567"/>
        </w:tabs>
        <w:spacing w:line="240" w:lineRule="auto"/>
      </w:pPr>
      <w:r>
        <w:t xml:space="preserve">Maropitant w wysokim stopniu </w:t>
      </w:r>
      <w:r w:rsidR="0B86F18C">
        <w:t>w</w:t>
      </w:r>
      <w:r w:rsidR="00A240B5">
        <w:t>i</w:t>
      </w:r>
      <w:r w:rsidR="0B86F18C">
        <w:t xml:space="preserve">ąże </w:t>
      </w:r>
      <w:r>
        <w:t xml:space="preserve">się z białkami osocza i może konkurować z innymi lekami </w:t>
      </w:r>
      <w:r w:rsidR="04E6D8B1">
        <w:t xml:space="preserve">o wysokim stopniu wiązania. </w:t>
      </w:r>
    </w:p>
    <w:p w14:paraId="7DA70188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F2C86E" w14:textId="77777777" w:rsidR="00C114FF" w:rsidRPr="00BE15AB" w:rsidRDefault="00672623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1EFFDE7B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09529D" w14:textId="3B29FBEC" w:rsidR="00F00DB6" w:rsidRPr="004940A5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P</w:t>
      </w:r>
      <w:r w:rsidRPr="00F00DB6">
        <w:rPr>
          <w:szCs w:val="22"/>
          <w:lang w:eastAsia="en-GB"/>
        </w:rPr>
        <w:t>odanie podskórne lub dożylne</w:t>
      </w:r>
      <w:r>
        <w:rPr>
          <w:szCs w:val="22"/>
          <w:lang w:eastAsia="en-GB"/>
        </w:rPr>
        <w:t>.</w:t>
      </w:r>
    </w:p>
    <w:p w14:paraId="703D83BE" w14:textId="77777777" w:rsidR="009075D5" w:rsidRPr="004940A5" w:rsidRDefault="009075D5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3521E2A6" w14:textId="0534CE6E" w:rsidR="00F00DB6" w:rsidRPr="00F00DB6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>
        <w:rPr>
          <w:szCs w:val="22"/>
          <w:lang w:eastAsia="en-GB"/>
        </w:rPr>
        <w:t>Weterynaryjny produkt leczniczy</w:t>
      </w:r>
      <w:r w:rsidRPr="00F00DB6">
        <w:rPr>
          <w:szCs w:val="22"/>
          <w:lang w:eastAsia="en-GB"/>
        </w:rPr>
        <w:t xml:space="preserve"> należy podawać raz dziennie, w dawce </w:t>
      </w:r>
      <w:r w:rsidRPr="004971C2">
        <w:rPr>
          <w:color w:val="000000" w:themeColor="text1"/>
          <w:szCs w:val="22"/>
          <w:lang w:eastAsia="en-GB"/>
        </w:rPr>
        <w:t>1</w:t>
      </w:r>
      <w:r w:rsidR="00CA3D7A">
        <w:rPr>
          <w:color w:val="000000" w:themeColor="text1"/>
          <w:szCs w:val="22"/>
          <w:lang w:eastAsia="en-GB"/>
        </w:rPr>
        <w:t> </w:t>
      </w:r>
      <w:r w:rsidRPr="004971C2">
        <w:rPr>
          <w:color w:val="000000" w:themeColor="text1"/>
          <w:szCs w:val="22"/>
          <w:lang w:eastAsia="en-GB"/>
        </w:rPr>
        <w:t xml:space="preserve">mg maropitantu/kg </w:t>
      </w:r>
      <w:r w:rsidRPr="00F00DB6">
        <w:rPr>
          <w:szCs w:val="22"/>
          <w:lang w:eastAsia="en-GB"/>
        </w:rPr>
        <w:t>masy ciała (1</w:t>
      </w:r>
      <w:r w:rsidR="00CA3D7A">
        <w:rPr>
          <w:szCs w:val="22"/>
          <w:lang w:eastAsia="en-GB"/>
        </w:rPr>
        <w:t> </w:t>
      </w:r>
      <w:r w:rsidRPr="00F00DB6">
        <w:rPr>
          <w:szCs w:val="22"/>
          <w:lang w:eastAsia="en-GB"/>
        </w:rPr>
        <w:t>ml</w:t>
      </w:r>
      <w:r>
        <w:rPr>
          <w:szCs w:val="22"/>
          <w:lang w:eastAsia="en-GB"/>
        </w:rPr>
        <w:t xml:space="preserve"> weterynaryjnego produktu leczniczego</w:t>
      </w:r>
      <w:r w:rsidRPr="00F00DB6">
        <w:rPr>
          <w:szCs w:val="22"/>
          <w:lang w:eastAsia="en-GB"/>
        </w:rPr>
        <w:t>/10</w:t>
      </w:r>
      <w:r w:rsidR="00CA3D7A">
        <w:rPr>
          <w:szCs w:val="22"/>
          <w:lang w:eastAsia="en-GB"/>
        </w:rPr>
        <w:t> </w:t>
      </w:r>
      <w:r w:rsidRPr="00F00DB6">
        <w:rPr>
          <w:szCs w:val="22"/>
          <w:lang w:eastAsia="en-GB"/>
        </w:rPr>
        <w:t xml:space="preserve">kg masy ciała) nie dłużej niż przez 5 kolejnych dni. Dożylnie, </w:t>
      </w:r>
      <w:r>
        <w:rPr>
          <w:szCs w:val="22"/>
          <w:lang w:eastAsia="en-GB"/>
        </w:rPr>
        <w:t xml:space="preserve">weterynaryjny produkt leczniczy </w:t>
      </w:r>
      <w:r w:rsidRPr="00F00DB6">
        <w:rPr>
          <w:szCs w:val="22"/>
          <w:lang w:eastAsia="en-GB"/>
        </w:rPr>
        <w:t>powin</w:t>
      </w:r>
      <w:r>
        <w:rPr>
          <w:szCs w:val="22"/>
          <w:lang w:eastAsia="en-GB"/>
        </w:rPr>
        <w:t>ien</w:t>
      </w:r>
      <w:r w:rsidRPr="00F00DB6">
        <w:rPr>
          <w:szCs w:val="22"/>
          <w:lang w:eastAsia="en-GB"/>
        </w:rPr>
        <w:t xml:space="preserve"> być podan</w:t>
      </w:r>
      <w:r>
        <w:rPr>
          <w:szCs w:val="22"/>
          <w:lang w:eastAsia="en-GB"/>
        </w:rPr>
        <w:t>y</w:t>
      </w:r>
      <w:r w:rsidRPr="00F00DB6">
        <w:rPr>
          <w:szCs w:val="22"/>
          <w:lang w:eastAsia="en-GB"/>
        </w:rPr>
        <w:t xml:space="preserve"> jako jeden bolus, bez mieszania produktu z innymi płynami.</w:t>
      </w:r>
    </w:p>
    <w:p w14:paraId="67675B18" w14:textId="77777777" w:rsidR="009075D5" w:rsidRPr="004940A5" w:rsidRDefault="009075D5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27827585" w14:textId="00FD5C54" w:rsidR="00F00DB6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F00DB6">
        <w:rPr>
          <w:szCs w:val="22"/>
          <w:lang w:eastAsia="en-GB"/>
        </w:rPr>
        <w:t xml:space="preserve">W celu zapobiegania wymiotom, </w:t>
      </w:r>
      <w:r>
        <w:rPr>
          <w:szCs w:val="22"/>
          <w:lang w:eastAsia="en-GB"/>
        </w:rPr>
        <w:t xml:space="preserve">weterynaryjny produkt leczniczy </w:t>
      </w:r>
      <w:r w:rsidRPr="00F00DB6">
        <w:rPr>
          <w:szCs w:val="22"/>
          <w:lang w:eastAsia="en-GB"/>
        </w:rPr>
        <w:t>powin</w:t>
      </w:r>
      <w:r>
        <w:rPr>
          <w:szCs w:val="22"/>
          <w:lang w:eastAsia="en-GB"/>
        </w:rPr>
        <w:t>ien</w:t>
      </w:r>
      <w:r w:rsidRPr="00F00DB6">
        <w:rPr>
          <w:szCs w:val="22"/>
          <w:lang w:eastAsia="en-GB"/>
        </w:rPr>
        <w:t xml:space="preserve"> być podawan</w:t>
      </w:r>
      <w:r>
        <w:rPr>
          <w:szCs w:val="22"/>
          <w:lang w:eastAsia="en-GB"/>
        </w:rPr>
        <w:t>y</w:t>
      </w:r>
      <w:r w:rsidRPr="00F00DB6">
        <w:rPr>
          <w:szCs w:val="22"/>
          <w:lang w:eastAsia="en-GB"/>
        </w:rPr>
        <w:t xml:space="preserve"> z co najmniej jednogodzinnym wyprzedzeniem. Efekt działania utrzymuje się przez około 24</w:t>
      </w:r>
      <w:r w:rsidR="00C31C90">
        <w:rPr>
          <w:szCs w:val="22"/>
          <w:lang w:eastAsia="en-GB"/>
        </w:rPr>
        <w:t> </w:t>
      </w:r>
      <w:r w:rsidRPr="00F00DB6">
        <w:rPr>
          <w:szCs w:val="22"/>
          <w:lang w:eastAsia="en-GB"/>
        </w:rPr>
        <w:t xml:space="preserve">godziny, dlatego lek można podać na noc przed podaniem środka powodującego wymioty, np. chemioterapii. </w:t>
      </w:r>
    </w:p>
    <w:p w14:paraId="4BD0CA05" w14:textId="77777777" w:rsidR="00F00DB6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5AA76D55" w14:textId="106D14CD" w:rsidR="00F00DB6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1D1DC1B9">
        <w:rPr>
          <w:lang w:eastAsia="en-GB"/>
        </w:rPr>
        <w:t xml:space="preserve">Ponieważ zmienność farmakokinetyczna jest duża i maropitant kumuluje się w organizmie </w:t>
      </w:r>
      <w:r w:rsidR="00F54472">
        <w:rPr>
          <w:lang w:eastAsia="en-GB"/>
        </w:rPr>
        <w:t xml:space="preserve">po </w:t>
      </w:r>
      <w:r w:rsidR="3814BF37" w:rsidRPr="1D1DC1B9">
        <w:rPr>
          <w:lang w:eastAsia="en-GB"/>
        </w:rPr>
        <w:t>wielokrotnym</w:t>
      </w:r>
      <w:r w:rsidR="00DF0CD0">
        <w:rPr>
          <w:lang w:eastAsia="en-GB"/>
        </w:rPr>
        <w:t xml:space="preserve"> </w:t>
      </w:r>
      <w:r w:rsidRPr="1D1DC1B9">
        <w:rPr>
          <w:lang w:eastAsia="en-GB"/>
        </w:rPr>
        <w:t xml:space="preserve">podaniu </w:t>
      </w:r>
      <w:r w:rsidR="62B9BA4E" w:rsidRPr="1D1DC1B9">
        <w:rPr>
          <w:lang w:eastAsia="en-GB"/>
        </w:rPr>
        <w:t>raz dziennie</w:t>
      </w:r>
      <w:r w:rsidRPr="1D1DC1B9">
        <w:rPr>
          <w:lang w:eastAsia="en-GB"/>
        </w:rPr>
        <w:t>, mniejsza dawka niż zalecana może być wystarczająca dla niektórych osobników przy podaniu</w:t>
      </w:r>
      <w:r w:rsidR="5A8BB28E" w:rsidRPr="1D1DC1B9">
        <w:rPr>
          <w:lang w:eastAsia="en-GB"/>
        </w:rPr>
        <w:t xml:space="preserve"> wielokrotnym</w:t>
      </w:r>
      <w:r w:rsidRPr="1D1DC1B9">
        <w:rPr>
          <w:lang w:eastAsia="en-GB"/>
        </w:rPr>
        <w:t>.</w:t>
      </w:r>
    </w:p>
    <w:p w14:paraId="180A26EB" w14:textId="77777777" w:rsidR="00F00DB6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164FD0DF" w14:textId="56E8561D" w:rsidR="00F00DB6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eastAsia="en-GB"/>
        </w:rPr>
      </w:pPr>
      <w:r w:rsidRPr="1D1DC1B9">
        <w:rPr>
          <w:lang w:eastAsia="en-GB"/>
        </w:rPr>
        <w:t>W przypadku</w:t>
      </w:r>
      <w:r w:rsidR="003F3783">
        <w:rPr>
          <w:lang w:eastAsia="en-GB"/>
        </w:rPr>
        <w:t xml:space="preserve"> </w:t>
      </w:r>
      <w:r w:rsidR="411272EC" w:rsidRPr="1D1DC1B9">
        <w:rPr>
          <w:lang w:eastAsia="en-GB"/>
        </w:rPr>
        <w:t xml:space="preserve">podania podskórnego </w:t>
      </w:r>
      <w:r w:rsidRPr="1D1DC1B9">
        <w:rPr>
          <w:lang w:eastAsia="en-GB"/>
        </w:rPr>
        <w:t>patrz także „Specjalne środki ostrożności dotyczące bezpiecznego stosowania u docelowych gatunków zwierząt” (punkt 3.5).</w:t>
      </w:r>
    </w:p>
    <w:p w14:paraId="04092862" w14:textId="77777777" w:rsidR="009075D5" w:rsidRPr="004940A5" w:rsidRDefault="009075D5" w:rsidP="009075D5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6A2CBB76" w14:textId="50F840FA" w:rsidR="00953A45" w:rsidRPr="00230F37" w:rsidRDefault="00953A45" w:rsidP="00953A45">
      <w:pPr>
        <w:tabs>
          <w:tab w:val="clear" w:pos="567"/>
        </w:tabs>
        <w:spacing w:line="240" w:lineRule="auto"/>
        <w:rPr>
          <w:szCs w:val="22"/>
        </w:rPr>
      </w:pPr>
      <w:r w:rsidRPr="00230F37">
        <w:rPr>
          <w:szCs w:val="22"/>
        </w:rPr>
        <w:t>Korek</w:t>
      </w:r>
      <w:r>
        <w:rPr>
          <w:szCs w:val="22"/>
        </w:rPr>
        <w:t xml:space="preserve"> weterynaryjnego produktu leczniczego</w:t>
      </w:r>
      <w:r w:rsidRPr="00230F37">
        <w:rPr>
          <w:szCs w:val="22"/>
        </w:rPr>
        <w:t xml:space="preserve"> może być </w:t>
      </w:r>
      <w:r w:rsidRPr="00FB54C9">
        <w:rPr>
          <w:szCs w:val="22"/>
        </w:rPr>
        <w:t>bezpiecznie przekłuty</w:t>
      </w:r>
      <w:r w:rsidRPr="00230F37">
        <w:rPr>
          <w:szCs w:val="22"/>
        </w:rPr>
        <w:t xml:space="preserve"> do </w:t>
      </w:r>
      <w:r>
        <w:rPr>
          <w:szCs w:val="22"/>
        </w:rPr>
        <w:t>25</w:t>
      </w:r>
      <w:r w:rsidR="005D0653">
        <w:rPr>
          <w:szCs w:val="22"/>
        </w:rPr>
        <w:t> </w:t>
      </w:r>
      <w:r w:rsidRPr="00230F37">
        <w:rPr>
          <w:szCs w:val="22"/>
        </w:rPr>
        <w:t>razy.</w:t>
      </w:r>
    </w:p>
    <w:p w14:paraId="7B458FF6" w14:textId="77777777" w:rsidR="009075D5" w:rsidRPr="00953A45" w:rsidRDefault="009075D5" w:rsidP="00A9226B">
      <w:pPr>
        <w:tabs>
          <w:tab w:val="clear" w:pos="567"/>
        </w:tabs>
        <w:spacing w:line="240" w:lineRule="auto"/>
        <w:rPr>
          <w:szCs w:val="22"/>
          <w:lang w:eastAsia="en-GB"/>
        </w:rPr>
      </w:pPr>
    </w:p>
    <w:p w14:paraId="26228206" w14:textId="77777777" w:rsidR="00C114FF" w:rsidRDefault="00672623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2F7A24A2" w14:textId="77777777" w:rsidR="00F00DB6" w:rsidRPr="004940A5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618955E6" w14:textId="70B10F53" w:rsidR="00F00DB6" w:rsidRPr="00624A55" w:rsidRDefault="00F00DB6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  <w:r w:rsidRPr="00F00DB6">
        <w:rPr>
          <w:szCs w:val="22"/>
          <w:lang w:eastAsia="en-GB"/>
        </w:rPr>
        <w:t xml:space="preserve">Poza przemijającymi reakcjami w miejscu iniekcji po podaniu podskórnym </w:t>
      </w:r>
      <w:r w:rsidR="00624A55">
        <w:rPr>
          <w:szCs w:val="22"/>
          <w:lang w:eastAsia="en-GB"/>
        </w:rPr>
        <w:t xml:space="preserve">maropitant </w:t>
      </w:r>
      <w:r w:rsidRPr="00F00DB6">
        <w:rPr>
          <w:szCs w:val="22"/>
          <w:lang w:eastAsia="en-GB"/>
        </w:rPr>
        <w:t>był dobrze tolerowany przez psy i młode koty, które otrzymały dawk</w:t>
      </w:r>
      <w:r w:rsidRPr="00FB54C9">
        <w:rPr>
          <w:szCs w:val="22"/>
          <w:lang w:eastAsia="en-GB"/>
        </w:rPr>
        <w:t>ę</w:t>
      </w:r>
      <w:r w:rsidR="00624A55" w:rsidRPr="00FB54C9">
        <w:rPr>
          <w:szCs w:val="22"/>
          <w:lang w:eastAsia="en-GB"/>
        </w:rPr>
        <w:t xml:space="preserve"> do</w:t>
      </w:r>
      <w:r w:rsidRPr="00FB54C9">
        <w:rPr>
          <w:szCs w:val="22"/>
          <w:lang w:eastAsia="en-GB"/>
        </w:rPr>
        <w:t xml:space="preserve"> 5</w:t>
      </w:r>
      <w:r w:rsidR="00CA3D7A">
        <w:rPr>
          <w:szCs w:val="22"/>
          <w:lang w:eastAsia="en-GB"/>
        </w:rPr>
        <w:t> </w:t>
      </w:r>
      <w:r w:rsidRPr="00FB54C9">
        <w:rPr>
          <w:szCs w:val="22"/>
          <w:lang w:eastAsia="en-GB"/>
        </w:rPr>
        <w:t>mg/kg</w:t>
      </w:r>
      <w:r w:rsidRPr="00F00DB6">
        <w:rPr>
          <w:szCs w:val="22"/>
          <w:lang w:eastAsia="en-GB"/>
        </w:rPr>
        <w:t xml:space="preserve"> masy ciała dziennie (5-krotność zalecanej dawki) przez kolejnych 15</w:t>
      </w:r>
      <w:r w:rsidR="005D0653">
        <w:rPr>
          <w:szCs w:val="22"/>
          <w:lang w:eastAsia="en-GB"/>
        </w:rPr>
        <w:t> </w:t>
      </w:r>
      <w:r w:rsidRPr="00F00DB6">
        <w:rPr>
          <w:szCs w:val="22"/>
          <w:lang w:eastAsia="en-GB"/>
        </w:rPr>
        <w:t>dni (okres podawania 3-krotnie dłuższy od zalecanego). Brak danych dotyczących przedawkowania u dorosłych kotów</w:t>
      </w:r>
      <w:r>
        <w:rPr>
          <w:szCs w:val="22"/>
          <w:lang w:eastAsia="en-GB"/>
        </w:rPr>
        <w:t>.</w:t>
      </w:r>
    </w:p>
    <w:p w14:paraId="417E8264" w14:textId="77777777" w:rsidR="009075D5" w:rsidRPr="00624A55" w:rsidRDefault="009075D5" w:rsidP="009075D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5E48D568" w14:textId="77777777" w:rsidR="009A6509" w:rsidRPr="00BE15AB" w:rsidRDefault="00672623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6D880859" w14:textId="77777777" w:rsidR="009075D5" w:rsidRDefault="009075D5" w:rsidP="009A6509">
      <w:pPr>
        <w:tabs>
          <w:tab w:val="clear" w:pos="567"/>
        </w:tabs>
        <w:spacing w:line="240" w:lineRule="auto"/>
      </w:pPr>
    </w:p>
    <w:p w14:paraId="0689102F" w14:textId="2ACBFDCF" w:rsidR="009A6509" w:rsidRPr="00BE15AB" w:rsidRDefault="00672623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533E8CC0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1AA8C00" w14:textId="77777777" w:rsidR="00C114FF" w:rsidRPr="00BE15AB" w:rsidRDefault="00672623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26C9A535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1F3C1F" w14:textId="7298AE0F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</w:t>
      </w:r>
      <w:r w:rsidR="009075D5">
        <w:t>.</w:t>
      </w:r>
    </w:p>
    <w:p w14:paraId="53523871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DDF47" w14:textId="77777777" w:rsidR="00987F21" w:rsidRPr="00BE15AB" w:rsidRDefault="00987F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4C3653" w14:textId="5ABEFD8A" w:rsidR="00C114FF" w:rsidRPr="00BE15AB" w:rsidRDefault="00672623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4ACCB783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899A0C" w14:textId="41BB1614" w:rsidR="00C114FF" w:rsidRPr="00624A55" w:rsidRDefault="00672623" w:rsidP="00624A55">
      <w:pPr>
        <w:pStyle w:val="Style1"/>
        <w:rPr>
          <w:b w:val="0"/>
          <w:bCs/>
        </w:rPr>
      </w:pPr>
      <w:r w:rsidRPr="00D101B6">
        <w:t>4.1</w:t>
      </w:r>
      <w:r w:rsidRPr="00D101B6">
        <w:tab/>
      </w:r>
      <w:r w:rsidRPr="00BE15AB">
        <w:t>Kod ATCvet:</w:t>
      </w:r>
      <w:r w:rsidR="00624A55">
        <w:t xml:space="preserve"> </w:t>
      </w:r>
      <w:r w:rsidR="009075D5" w:rsidRPr="00624A55">
        <w:rPr>
          <w:b w:val="0"/>
          <w:bCs/>
          <w:lang w:eastAsia="en-GB"/>
        </w:rPr>
        <w:t>QA04AD90.</w:t>
      </w:r>
    </w:p>
    <w:p w14:paraId="29E7805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49753" w14:textId="754A2A33" w:rsidR="00C114FF" w:rsidRDefault="00672623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47A9826A" w14:textId="084DA865" w:rsidR="00624A55" w:rsidRPr="004940A5" w:rsidRDefault="00624A55" w:rsidP="00624A5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248E9BED" w14:textId="77777777" w:rsidR="00624A55" w:rsidRDefault="00624A55" w:rsidP="00624A55">
      <w:pPr>
        <w:tabs>
          <w:tab w:val="clear" w:pos="567"/>
        </w:tabs>
        <w:spacing w:line="240" w:lineRule="auto"/>
      </w:pPr>
      <w:r>
        <w:t xml:space="preserve">Wymioty to złożony proces koordynowany centralnie w ośrodku wymiotnym. Ośrodek ten składa się z kilku jąder zlokalizowanych w pniu mózgu (pole najdalsze, jądro pasma samotnego, grzbietowe jądro ruchowe nerwu błędnego) odbierających i integrujących bodźce czuciowe z receptorów ośrodkowych i obwodowych, jak również bodźce chemiczne z układu krążenia oraz płynu mózgowo-rdzeniowego. </w:t>
      </w:r>
    </w:p>
    <w:p w14:paraId="5BF4801E" w14:textId="77777777" w:rsidR="00624A55" w:rsidRPr="004940A5" w:rsidRDefault="00624A55" w:rsidP="00624A55">
      <w:pPr>
        <w:tabs>
          <w:tab w:val="clear" w:pos="567"/>
        </w:tabs>
        <w:spacing w:line="240" w:lineRule="auto"/>
      </w:pPr>
    </w:p>
    <w:p w14:paraId="63F079F3" w14:textId="77777777" w:rsidR="00624A55" w:rsidRDefault="00624A55" w:rsidP="00624A55">
      <w:pPr>
        <w:tabs>
          <w:tab w:val="clear" w:pos="567"/>
        </w:tabs>
        <w:spacing w:line="240" w:lineRule="auto"/>
      </w:pPr>
      <w:r>
        <w:t xml:space="preserve">Maropitant jest antagonistą receptora neurokininy 1 (NK1) działającym na drodze hamowania wiązania substancji P, neuropeptydu z grupy tachykinin. Substancja P w znacznych ilościach występuje w jądrach tworzących ośrodek wymiotny i uważana jest za główny neuroprzekaźnik zaangażowany w powstawanie odruchu wymiotnego. Poprzez hamowanie wiązania substancji P w ośrodku wymiotnym, maropitant jest skuteczny w znoszeniu nerwowych i humoralnych (ośrodkowych i obwodowych) przyczyn wymiotów. </w:t>
      </w:r>
    </w:p>
    <w:p w14:paraId="1B83524B" w14:textId="77777777" w:rsidR="00624A55" w:rsidRDefault="00624A55" w:rsidP="00624A55">
      <w:pPr>
        <w:tabs>
          <w:tab w:val="clear" w:pos="567"/>
        </w:tabs>
        <w:spacing w:line="240" w:lineRule="auto"/>
      </w:pPr>
    </w:p>
    <w:p w14:paraId="17F8DA1F" w14:textId="77777777" w:rsidR="00624A55" w:rsidRDefault="00624A55" w:rsidP="00624A55">
      <w:pPr>
        <w:tabs>
          <w:tab w:val="clear" w:pos="567"/>
        </w:tabs>
        <w:spacing w:line="240" w:lineRule="auto"/>
      </w:pPr>
      <w:r>
        <w:t xml:space="preserve">W różnych badaniach w warunkach </w:t>
      </w:r>
      <w:r w:rsidRPr="00624A55">
        <w:rPr>
          <w:i/>
          <w:iCs/>
        </w:rPr>
        <w:t>in vitro</w:t>
      </w:r>
      <w:r>
        <w:t xml:space="preserve"> wykazano, że maropitant wiąże się selektywnie z receptorem NK1 na zasadzie zależnego od dawki funkcjonalnego antagonizmu względem działania substancji P. </w:t>
      </w:r>
    </w:p>
    <w:p w14:paraId="40D486B1" w14:textId="77777777" w:rsidR="00624A55" w:rsidRDefault="00624A55" w:rsidP="00624A55">
      <w:pPr>
        <w:tabs>
          <w:tab w:val="clear" w:pos="567"/>
        </w:tabs>
        <w:spacing w:line="240" w:lineRule="auto"/>
      </w:pPr>
    </w:p>
    <w:p w14:paraId="34400D51" w14:textId="77777777" w:rsidR="00624A55" w:rsidRPr="00624A55" w:rsidRDefault="00624A55" w:rsidP="00624A55">
      <w:pPr>
        <w:tabs>
          <w:tab w:val="clear" w:pos="567"/>
        </w:tabs>
        <w:spacing w:line="240" w:lineRule="auto"/>
        <w:rPr>
          <w:szCs w:val="22"/>
          <w:lang w:eastAsia="en-GB"/>
        </w:rPr>
      </w:pPr>
      <w:r>
        <w:t>Maropitant skutecznie przeciwdziała wymiotom. Przeciwwymiotne działanie maropitantu w stosunku do działających ośrodkowo i obwodowo środków wymiotnych zostało potwierdzone w</w:t>
      </w:r>
    </w:p>
    <w:p w14:paraId="0C27720A" w14:textId="77777777" w:rsidR="00624A55" w:rsidRDefault="00624A55" w:rsidP="00624A5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d</w:t>
      </w:r>
      <w:r w:rsidRPr="00624A55">
        <w:rPr>
          <w:szCs w:val="22"/>
        </w:rPr>
        <w:t>oświadczeniach z użyciem apomorfiny, cis-platyny oraz syropu z korzenia wymiotnicy (psy) i ksylazyny (koty).</w:t>
      </w:r>
    </w:p>
    <w:p w14:paraId="3BBD8FC2" w14:textId="77777777" w:rsidR="00624A55" w:rsidRDefault="00624A55" w:rsidP="00624A55">
      <w:pPr>
        <w:tabs>
          <w:tab w:val="clear" w:pos="567"/>
        </w:tabs>
        <w:spacing w:line="240" w:lineRule="auto"/>
        <w:rPr>
          <w:szCs w:val="22"/>
        </w:rPr>
      </w:pPr>
    </w:p>
    <w:p w14:paraId="6CD8ED1C" w14:textId="10FD023F" w:rsidR="00624A55" w:rsidRPr="00624A55" w:rsidRDefault="00624A55" w:rsidP="009075D5">
      <w:pPr>
        <w:tabs>
          <w:tab w:val="clear" w:pos="567"/>
        </w:tabs>
        <w:spacing w:line="240" w:lineRule="auto"/>
        <w:rPr>
          <w:szCs w:val="22"/>
        </w:rPr>
      </w:pPr>
      <w:r w:rsidRPr="00624A55">
        <w:rPr>
          <w:szCs w:val="22"/>
        </w:rPr>
        <w:t>Objawy nudności u psów włączając nadmierne ślinienie i letarg mogą się utrzymywać w trakcie leczenia</w:t>
      </w:r>
      <w:r>
        <w:rPr>
          <w:szCs w:val="22"/>
        </w:rPr>
        <w:t>.</w:t>
      </w:r>
    </w:p>
    <w:p w14:paraId="5E22035F" w14:textId="77777777" w:rsidR="009075D5" w:rsidRPr="00624A55" w:rsidRDefault="009075D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D86C1E" w14:textId="0678CE5D" w:rsidR="00C114FF" w:rsidRDefault="00672623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0ED78176" w14:textId="77777777" w:rsidR="009075D5" w:rsidRPr="00BE15AB" w:rsidRDefault="009075D5" w:rsidP="00B13B6D">
      <w:pPr>
        <w:pStyle w:val="Style1"/>
      </w:pPr>
    </w:p>
    <w:p w14:paraId="46B64F87" w14:textId="05DAF417" w:rsidR="009075D5" w:rsidRDefault="00E16C88" w:rsidP="009075D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E16C88">
        <w:rPr>
          <w:b/>
          <w:bCs/>
          <w:szCs w:val="22"/>
        </w:rPr>
        <w:t>P</w:t>
      </w:r>
      <w:r>
        <w:rPr>
          <w:b/>
          <w:bCs/>
          <w:szCs w:val="22"/>
        </w:rPr>
        <w:t>sy</w:t>
      </w:r>
    </w:p>
    <w:p w14:paraId="22859DC2" w14:textId="77777777" w:rsidR="00E16C88" w:rsidRPr="00E16C88" w:rsidRDefault="00E16C88" w:rsidP="009075D5">
      <w:pPr>
        <w:tabs>
          <w:tab w:val="clear" w:pos="567"/>
        </w:tabs>
        <w:spacing w:line="240" w:lineRule="auto"/>
        <w:rPr>
          <w:szCs w:val="22"/>
        </w:rPr>
      </w:pPr>
    </w:p>
    <w:p w14:paraId="5ED92AEE" w14:textId="5B59FF5F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U psów profil farmakokinetyczny maropitantu po jednokrotnym podaniu podskórnym w dawce 1</w:t>
      </w:r>
      <w:r w:rsidR="005D0653">
        <w:rPr>
          <w:szCs w:val="22"/>
        </w:rPr>
        <w:t> </w:t>
      </w:r>
      <w:r w:rsidRPr="00E16C88">
        <w:rPr>
          <w:szCs w:val="22"/>
        </w:rPr>
        <w:t>mg/kg masy ciała cechował się najwyższym stężeniem w osoczu (C</w:t>
      </w:r>
      <w:r w:rsidRPr="00E16C88">
        <w:rPr>
          <w:szCs w:val="22"/>
          <w:vertAlign w:val="subscript"/>
        </w:rPr>
        <w:t>max</w:t>
      </w:r>
      <w:r w:rsidRPr="00E16C88">
        <w:rPr>
          <w:szCs w:val="22"/>
        </w:rPr>
        <w:t>) na poziomie około 92</w:t>
      </w:r>
      <w:r w:rsidR="00DF0435">
        <w:rPr>
          <w:szCs w:val="22"/>
        </w:rPr>
        <w:t> </w:t>
      </w:r>
      <w:r w:rsidRPr="00E16C88">
        <w:rPr>
          <w:szCs w:val="22"/>
        </w:rPr>
        <w:t xml:space="preserve">ng/ml </w:t>
      </w:r>
    </w:p>
    <w:p w14:paraId="4C50DFC6" w14:textId="26A6BDEC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osiągniętym w ciągu 0,75</w:t>
      </w:r>
      <w:r w:rsidR="00DF0435">
        <w:rPr>
          <w:szCs w:val="22"/>
        </w:rPr>
        <w:t> </w:t>
      </w:r>
      <w:r w:rsidRPr="00E16C88">
        <w:rPr>
          <w:szCs w:val="22"/>
        </w:rPr>
        <w:t>godziny po podaniu (T</w:t>
      </w:r>
      <w:r w:rsidRPr="00E16C88">
        <w:rPr>
          <w:szCs w:val="22"/>
          <w:vertAlign w:val="subscript"/>
        </w:rPr>
        <w:t>max</w:t>
      </w:r>
      <w:r w:rsidRPr="00E16C88">
        <w:rPr>
          <w:szCs w:val="22"/>
        </w:rPr>
        <w:t xml:space="preserve">). Po osiągnięciu najwyższego stężenia </w:t>
      </w:r>
    </w:p>
    <w:p w14:paraId="63CD3805" w14:textId="36A86806" w:rsid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odnotowano spadek ekspozycji ogólnoustrojowej, gdzie półokres eliminacji (t</w:t>
      </w:r>
      <w:r w:rsidRPr="00E16C88">
        <w:rPr>
          <w:szCs w:val="22"/>
          <w:vertAlign w:val="subscript"/>
        </w:rPr>
        <w:t>1/2</w:t>
      </w:r>
      <w:r w:rsidRPr="00E16C88">
        <w:rPr>
          <w:szCs w:val="22"/>
        </w:rPr>
        <w:t>) wynosił 8,84</w:t>
      </w:r>
      <w:r w:rsidR="00DF0435">
        <w:rPr>
          <w:szCs w:val="22"/>
        </w:rPr>
        <w:t> </w:t>
      </w:r>
      <w:r w:rsidRPr="00E16C88">
        <w:rPr>
          <w:szCs w:val="22"/>
        </w:rPr>
        <w:t>godziny. Po podaniu dożylnym jednej dawki 1</w:t>
      </w:r>
      <w:r w:rsidR="00DF0435">
        <w:rPr>
          <w:szCs w:val="22"/>
        </w:rPr>
        <w:t> </w:t>
      </w:r>
      <w:r w:rsidRPr="00E16C88">
        <w:rPr>
          <w:szCs w:val="22"/>
        </w:rPr>
        <w:t>mg/kg początkowe stężenie w osoczu wynosiło 363</w:t>
      </w:r>
      <w:r w:rsidR="00DF0435">
        <w:rPr>
          <w:szCs w:val="22"/>
        </w:rPr>
        <w:t> </w:t>
      </w:r>
      <w:r>
        <w:t>ng/ml. Objętość dystrybucyjna w stanie równowagi (V</w:t>
      </w:r>
      <w:r w:rsidRPr="1D1DC1B9">
        <w:rPr>
          <w:vertAlign w:val="subscript"/>
        </w:rPr>
        <w:t>ss</w:t>
      </w:r>
      <w:r>
        <w:t>) wynosiła 9,3</w:t>
      </w:r>
      <w:r w:rsidR="00DF0435">
        <w:t> </w:t>
      </w:r>
      <w:r>
        <w:t xml:space="preserve">l/kg, a klirens ogólnoustrojowy </w:t>
      </w:r>
      <w:r w:rsidRPr="00E16C88">
        <w:rPr>
          <w:szCs w:val="22"/>
        </w:rPr>
        <w:t>wynosił 1,5</w:t>
      </w:r>
      <w:r w:rsidR="00DF0435">
        <w:rPr>
          <w:szCs w:val="22"/>
        </w:rPr>
        <w:t> </w:t>
      </w:r>
      <w:r w:rsidRPr="00E16C88">
        <w:rPr>
          <w:szCs w:val="22"/>
        </w:rPr>
        <w:t>l/h/kg. T</w:t>
      </w:r>
      <w:r w:rsidRPr="00E16C88">
        <w:rPr>
          <w:szCs w:val="22"/>
          <w:vertAlign w:val="subscript"/>
        </w:rPr>
        <w:t xml:space="preserve">1/2 </w:t>
      </w:r>
      <w:r w:rsidRPr="00E16C88">
        <w:rPr>
          <w:szCs w:val="22"/>
        </w:rPr>
        <w:t>eliminacji po podaniu dożylnym wynosił około 5,8</w:t>
      </w:r>
      <w:r w:rsidR="00DF0435">
        <w:rPr>
          <w:szCs w:val="22"/>
        </w:rPr>
        <w:t> </w:t>
      </w:r>
      <w:r>
        <w:rPr>
          <w:szCs w:val="22"/>
        </w:rPr>
        <w:t>godziny</w:t>
      </w:r>
      <w:r w:rsidRPr="00E16C88">
        <w:rPr>
          <w:szCs w:val="22"/>
        </w:rPr>
        <w:t>.</w:t>
      </w:r>
    </w:p>
    <w:p w14:paraId="3D018DC3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</w:p>
    <w:p w14:paraId="52EAF27B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 xml:space="preserve">W trakcie badań klinicznych osiągany w osoczu poziom maropitantu warunkował skuteczność </w:t>
      </w:r>
    </w:p>
    <w:p w14:paraId="1A652A48" w14:textId="75AB7F06" w:rsid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działania począwszy od 1</w:t>
      </w:r>
      <w:r w:rsidR="00DF0435">
        <w:rPr>
          <w:szCs w:val="22"/>
        </w:rPr>
        <w:t> </w:t>
      </w:r>
      <w:r w:rsidRPr="00E16C88">
        <w:rPr>
          <w:szCs w:val="22"/>
        </w:rPr>
        <w:t>godziny po podaniu.</w:t>
      </w:r>
    </w:p>
    <w:p w14:paraId="3277A336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</w:p>
    <w:p w14:paraId="3613DE94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 xml:space="preserve">Biodostępność maropitantu po podaniu podskórnym u psów wynosiła 90,7%. Maropitant podawany </w:t>
      </w:r>
    </w:p>
    <w:p w14:paraId="334EA61D" w14:textId="3B1642EF" w:rsid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podskórnie w dawkach od 0,5 do 2</w:t>
      </w:r>
      <w:r w:rsidR="00DF0435">
        <w:rPr>
          <w:szCs w:val="22"/>
        </w:rPr>
        <w:t> </w:t>
      </w:r>
      <w:r w:rsidRPr="00E16C88">
        <w:rPr>
          <w:szCs w:val="22"/>
        </w:rPr>
        <w:t>mg/kg wykazuje liniowe właściwości kinetyczne.</w:t>
      </w:r>
    </w:p>
    <w:p w14:paraId="52C38D3D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</w:p>
    <w:p w14:paraId="6B4771E9" w14:textId="6012A496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Po wielokrotnym podawaniu podskórnym jednorazowej dawki dziennej 1</w:t>
      </w:r>
      <w:r w:rsidR="00A20751">
        <w:rPr>
          <w:szCs w:val="22"/>
        </w:rPr>
        <w:t> </w:t>
      </w:r>
      <w:r w:rsidRPr="00E16C88">
        <w:rPr>
          <w:szCs w:val="22"/>
        </w:rPr>
        <w:t xml:space="preserve">mg/kg przez pięć kolejnych </w:t>
      </w:r>
    </w:p>
    <w:p w14:paraId="2EE9ED82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 xml:space="preserve">dni kumulacja wynosiła 146%. Maropitant metabolizowany jest w wątrobie przy udziale cytochromu </w:t>
      </w:r>
    </w:p>
    <w:p w14:paraId="5F49636D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 xml:space="preserve">P450 (CYP). Stwierdzono, że u psów izoformy CYP2D15 oraz CYP3A12 biorą udział w </w:t>
      </w:r>
    </w:p>
    <w:p w14:paraId="1D782637" w14:textId="77777777" w:rsid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  <w:r w:rsidRPr="00E16C88">
        <w:rPr>
          <w:szCs w:val="22"/>
        </w:rPr>
        <w:t>biotransformacji maropitantu w wątrobie.</w:t>
      </w:r>
    </w:p>
    <w:p w14:paraId="7EBC744C" w14:textId="77777777" w:rsidR="00E16C88" w:rsidRPr="00E16C88" w:rsidRDefault="00E16C88" w:rsidP="00E16C88">
      <w:pPr>
        <w:tabs>
          <w:tab w:val="clear" w:pos="567"/>
        </w:tabs>
        <w:spacing w:line="240" w:lineRule="auto"/>
        <w:rPr>
          <w:szCs w:val="22"/>
        </w:rPr>
      </w:pPr>
    </w:p>
    <w:p w14:paraId="213CAD5C" w14:textId="331B0B0E" w:rsidR="009075D5" w:rsidRPr="005D0653" w:rsidRDefault="6F34D0D7" w:rsidP="00E16C88">
      <w:pPr>
        <w:tabs>
          <w:tab w:val="clear" w:pos="567"/>
        </w:tabs>
        <w:spacing w:line="240" w:lineRule="auto"/>
      </w:pPr>
      <w:r>
        <w:t>Wydalani</w:t>
      </w:r>
      <w:r w:rsidR="001940EC">
        <w:t>e</w:t>
      </w:r>
      <w:r>
        <w:t xml:space="preserve"> maropitantu przez nerki </w:t>
      </w:r>
      <w:r w:rsidR="00A80A3E">
        <w:t>jest drugorzędową</w:t>
      </w:r>
      <w:r>
        <w:t xml:space="preserve"> drog</w:t>
      </w:r>
      <w:r w:rsidR="00A67DBC">
        <w:t>ą</w:t>
      </w:r>
      <w:r>
        <w:t xml:space="preserve"> eliminacji, przy czym mniej niż 1% dawki podskórnej wynoszącej 1</w:t>
      </w:r>
      <w:r w:rsidR="00A20751">
        <w:t> </w:t>
      </w:r>
      <w:r>
        <w:t>mg/kg stwierdzana jest w moczu w postaci maropitantu</w:t>
      </w:r>
      <w:r w:rsidR="00E16C88">
        <w:t xml:space="preserve"> bądź jego głównego metabolitu. U psów wiązanie maropitantu z </w:t>
      </w:r>
      <w:r w:rsidR="00E16C88" w:rsidRPr="00E16C88">
        <w:rPr>
          <w:szCs w:val="22"/>
        </w:rPr>
        <w:t>białkami osocza przekracza 99%.</w:t>
      </w:r>
    </w:p>
    <w:p w14:paraId="17000668" w14:textId="77777777" w:rsidR="009075D5" w:rsidRPr="004940A5" w:rsidRDefault="009075D5" w:rsidP="009075D5">
      <w:pPr>
        <w:tabs>
          <w:tab w:val="clear" w:pos="567"/>
        </w:tabs>
        <w:spacing w:line="240" w:lineRule="auto"/>
        <w:rPr>
          <w:szCs w:val="22"/>
        </w:rPr>
      </w:pPr>
    </w:p>
    <w:p w14:paraId="77026F16" w14:textId="4F6B796C" w:rsidR="009075D5" w:rsidRPr="004940A5" w:rsidRDefault="000911DA" w:rsidP="009075D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4940A5">
        <w:rPr>
          <w:b/>
          <w:bCs/>
          <w:szCs w:val="22"/>
        </w:rPr>
        <w:t>Koty</w:t>
      </w:r>
    </w:p>
    <w:p w14:paraId="687C352E" w14:textId="77777777" w:rsidR="000911DA" w:rsidRPr="004940A5" w:rsidRDefault="000911DA" w:rsidP="009075D5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21F4DF8C" w14:textId="04DE82E7" w:rsidR="000911DA" w:rsidRDefault="000911DA" w:rsidP="009075D5">
      <w:pPr>
        <w:tabs>
          <w:tab w:val="clear" w:pos="567"/>
        </w:tabs>
        <w:spacing w:line="240" w:lineRule="auto"/>
        <w:rPr>
          <w:szCs w:val="22"/>
        </w:rPr>
      </w:pPr>
      <w:r w:rsidRPr="000911DA">
        <w:rPr>
          <w:szCs w:val="22"/>
        </w:rPr>
        <w:t>U kotów profil farmakokinetyczny maropitantu po jednokrotnym podaniu podskórnym w dawce 1</w:t>
      </w:r>
      <w:r w:rsidR="004F3EBD">
        <w:rPr>
          <w:szCs w:val="22"/>
        </w:rPr>
        <w:t> </w:t>
      </w:r>
      <w:r w:rsidRPr="000911DA">
        <w:rPr>
          <w:szCs w:val="22"/>
        </w:rPr>
        <w:t>mg/kg masy ciała cechował się najwyższym stężeniem w osoczu (C</w:t>
      </w:r>
      <w:r w:rsidRPr="000911DA">
        <w:rPr>
          <w:szCs w:val="22"/>
          <w:vertAlign w:val="subscript"/>
        </w:rPr>
        <w:t>max</w:t>
      </w:r>
      <w:r w:rsidRPr="000911DA">
        <w:rPr>
          <w:szCs w:val="22"/>
        </w:rPr>
        <w:t>) na poziomie około 165</w:t>
      </w:r>
      <w:r w:rsidR="004F3EBD">
        <w:rPr>
          <w:szCs w:val="22"/>
        </w:rPr>
        <w:t> </w:t>
      </w:r>
      <w:r w:rsidRPr="000911DA">
        <w:rPr>
          <w:szCs w:val="22"/>
        </w:rPr>
        <w:t>ng/ml osiągniętym w ciągu 0,32</w:t>
      </w:r>
      <w:r w:rsidR="004F3EBD">
        <w:rPr>
          <w:szCs w:val="22"/>
        </w:rPr>
        <w:t> </w:t>
      </w:r>
      <w:r w:rsidRPr="000911DA">
        <w:rPr>
          <w:szCs w:val="22"/>
        </w:rPr>
        <w:t>godziny (</w:t>
      </w:r>
      <w:r w:rsidR="004F3EBD" w:rsidRPr="000911DA">
        <w:rPr>
          <w:szCs w:val="22"/>
        </w:rPr>
        <w:t>19</w:t>
      </w:r>
      <w:r w:rsidR="004F3EBD">
        <w:rPr>
          <w:szCs w:val="22"/>
        </w:rPr>
        <w:t> </w:t>
      </w:r>
      <w:r w:rsidRPr="000911DA">
        <w:rPr>
          <w:szCs w:val="22"/>
        </w:rPr>
        <w:t>minut) po podaniu (T</w:t>
      </w:r>
      <w:r w:rsidRPr="000911DA">
        <w:rPr>
          <w:szCs w:val="22"/>
          <w:vertAlign w:val="subscript"/>
        </w:rPr>
        <w:t>max</w:t>
      </w:r>
      <w:r w:rsidRPr="000911DA">
        <w:rPr>
          <w:szCs w:val="22"/>
        </w:rPr>
        <w:t>). Po osiągnięciu najwyższego stężenia odnotowano spadek ekspozycji ogólnoustrojowej, gdzie półokres eliminacji (t</w:t>
      </w:r>
      <w:r w:rsidRPr="000911DA">
        <w:rPr>
          <w:szCs w:val="22"/>
          <w:vertAlign w:val="subscript"/>
        </w:rPr>
        <w:t>1/2</w:t>
      </w:r>
      <w:r w:rsidRPr="000911DA">
        <w:rPr>
          <w:szCs w:val="22"/>
        </w:rPr>
        <w:t>) wynosił 16,8</w:t>
      </w:r>
      <w:r w:rsidR="004F3EBD">
        <w:rPr>
          <w:szCs w:val="22"/>
        </w:rPr>
        <w:t> </w:t>
      </w:r>
      <w:r w:rsidRPr="000911DA">
        <w:rPr>
          <w:szCs w:val="22"/>
        </w:rPr>
        <w:t>godziny. Po podaniu dożylnym dawki 1</w:t>
      </w:r>
      <w:r w:rsidR="004F3EBD">
        <w:rPr>
          <w:szCs w:val="22"/>
        </w:rPr>
        <w:t> </w:t>
      </w:r>
      <w:r w:rsidRPr="000911DA">
        <w:rPr>
          <w:szCs w:val="22"/>
        </w:rPr>
        <w:t>mg/kg początkowe stężenie w osoczu wynosiło 1040</w:t>
      </w:r>
      <w:r w:rsidR="004F3EBD">
        <w:rPr>
          <w:szCs w:val="22"/>
        </w:rPr>
        <w:t> </w:t>
      </w:r>
      <w:r w:rsidRPr="000911DA">
        <w:rPr>
          <w:szCs w:val="22"/>
        </w:rPr>
        <w:t>ng/ml. Objętość dystrybucyjna w fazie równowagi (V</w:t>
      </w:r>
      <w:r w:rsidRPr="00B23D27">
        <w:rPr>
          <w:szCs w:val="22"/>
          <w:vertAlign w:val="subscript"/>
        </w:rPr>
        <w:t>ss</w:t>
      </w:r>
      <w:r w:rsidRPr="000911DA">
        <w:rPr>
          <w:szCs w:val="22"/>
        </w:rPr>
        <w:t xml:space="preserve">) </w:t>
      </w:r>
      <w:r w:rsidR="003401FB" w:rsidRPr="000911DA">
        <w:rPr>
          <w:szCs w:val="22"/>
        </w:rPr>
        <w:t>wynosił</w:t>
      </w:r>
      <w:r w:rsidR="003401FB">
        <w:rPr>
          <w:szCs w:val="22"/>
        </w:rPr>
        <w:t>a</w:t>
      </w:r>
      <w:r w:rsidR="003401FB" w:rsidRPr="000911DA">
        <w:rPr>
          <w:szCs w:val="22"/>
        </w:rPr>
        <w:t xml:space="preserve"> </w:t>
      </w:r>
      <w:r w:rsidRPr="000911DA">
        <w:rPr>
          <w:szCs w:val="22"/>
        </w:rPr>
        <w:t>2,3</w:t>
      </w:r>
      <w:r w:rsidR="004F3EBD">
        <w:rPr>
          <w:szCs w:val="22"/>
        </w:rPr>
        <w:t> </w:t>
      </w:r>
      <w:r w:rsidRPr="000911DA">
        <w:rPr>
          <w:szCs w:val="22"/>
        </w:rPr>
        <w:t>l/kg, a klirens ogólnoustrojowy wynosił 0,51</w:t>
      </w:r>
      <w:r w:rsidR="004F3EBD">
        <w:rPr>
          <w:szCs w:val="22"/>
        </w:rPr>
        <w:t> </w:t>
      </w:r>
      <w:r w:rsidRPr="000911DA">
        <w:rPr>
          <w:szCs w:val="22"/>
        </w:rPr>
        <w:t>l/h/kg. T</w:t>
      </w:r>
      <w:r w:rsidRPr="00B23D27">
        <w:rPr>
          <w:szCs w:val="22"/>
          <w:vertAlign w:val="subscript"/>
        </w:rPr>
        <w:t xml:space="preserve">1/2 </w:t>
      </w:r>
      <w:r w:rsidRPr="000911DA">
        <w:rPr>
          <w:szCs w:val="22"/>
        </w:rPr>
        <w:t>eliminacji po podaniu dożylnym wynosił około 4,9</w:t>
      </w:r>
      <w:r w:rsidR="004F3EBD">
        <w:rPr>
          <w:szCs w:val="22"/>
        </w:rPr>
        <w:t> </w:t>
      </w:r>
      <w:r>
        <w:rPr>
          <w:szCs w:val="22"/>
        </w:rPr>
        <w:t>godziny</w:t>
      </w:r>
      <w:r w:rsidRPr="000911DA">
        <w:rPr>
          <w:szCs w:val="22"/>
        </w:rPr>
        <w:t>. Stwierdzono, że farmakokinetyka maropitantu zależy od wieku, przy czym u kociąt klirens jest wyższy niż u dorosłych osobników</w:t>
      </w:r>
      <w:r>
        <w:rPr>
          <w:szCs w:val="22"/>
        </w:rPr>
        <w:t>.</w:t>
      </w:r>
    </w:p>
    <w:p w14:paraId="6E0FD89F" w14:textId="77777777" w:rsidR="000911DA" w:rsidRPr="00692E75" w:rsidRDefault="000911DA" w:rsidP="009075D5">
      <w:pPr>
        <w:tabs>
          <w:tab w:val="clear" w:pos="567"/>
        </w:tabs>
        <w:spacing w:line="240" w:lineRule="auto"/>
        <w:rPr>
          <w:szCs w:val="22"/>
        </w:rPr>
      </w:pPr>
    </w:p>
    <w:p w14:paraId="211994BF" w14:textId="1F294CB8" w:rsidR="00692E75" w:rsidRDefault="000911DA" w:rsidP="009075D5">
      <w:pPr>
        <w:tabs>
          <w:tab w:val="clear" w:pos="567"/>
        </w:tabs>
        <w:spacing w:line="240" w:lineRule="auto"/>
        <w:rPr>
          <w:szCs w:val="22"/>
        </w:rPr>
      </w:pPr>
      <w:r w:rsidRPr="000911DA">
        <w:rPr>
          <w:szCs w:val="22"/>
        </w:rPr>
        <w:t>W trakcie badań klinicznych osiągany w osoczu poziom maropitantu warunkował skuteczność działania począwszy od 1</w:t>
      </w:r>
      <w:r w:rsidR="004F3EBD">
        <w:rPr>
          <w:szCs w:val="22"/>
        </w:rPr>
        <w:t> </w:t>
      </w:r>
      <w:r w:rsidRPr="000911DA">
        <w:rPr>
          <w:szCs w:val="22"/>
        </w:rPr>
        <w:t xml:space="preserve">godziny po podaniu. </w:t>
      </w:r>
    </w:p>
    <w:p w14:paraId="0DD984D3" w14:textId="77777777" w:rsidR="00692E75" w:rsidRDefault="00692E75" w:rsidP="009075D5">
      <w:pPr>
        <w:tabs>
          <w:tab w:val="clear" w:pos="567"/>
        </w:tabs>
        <w:spacing w:line="240" w:lineRule="auto"/>
        <w:rPr>
          <w:szCs w:val="22"/>
        </w:rPr>
      </w:pPr>
    </w:p>
    <w:p w14:paraId="5956BF10" w14:textId="0E7102D7" w:rsidR="00692E75" w:rsidRDefault="000911DA" w:rsidP="009075D5">
      <w:pPr>
        <w:tabs>
          <w:tab w:val="clear" w:pos="567"/>
        </w:tabs>
        <w:spacing w:line="240" w:lineRule="auto"/>
        <w:rPr>
          <w:szCs w:val="22"/>
        </w:rPr>
      </w:pPr>
      <w:r w:rsidRPr="000911DA">
        <w:rPr>
          <w:szCs w:val="22"/>
        </w:rPr>
        <w:t>Biodostępność maropitantu po podaniu podskórnym u kotów wynosiła 91,3%. Maropitant podawany podskórnie w dawkach od 0,25 do 3</w:t>
      </w:r>
      <w:r w:rsidR="004F3EBD">
        <w:rPr>
          <w:szCs w:val="22"/>
        </w:rPr>
        <w:t> </w:t>
      </w:r>
      <w:r w:rsidRPr="000911DA">
        <w:rPr>
          <w:szCs w:val="22"/>
        </w:rPr>
        <w:t xml:space="preserve">mg/kg wykazuje liniowe właściwości kinetyczne. </w:t>
      </w:r>
    </w:p>
    <w:p w14:paraId="65022BE5" w14:textId="77777777" w:rsidR="00692E75" w:rsidRDefault="00692E75" w:rsidP="009075D5">
      <w:pPr>
        <w:tabs>
          <w:tab w:val="clear" w:pos="567"/>
        </w:tabs>
        <w:spacing w:line="240" w:lineRule="auto"/>
        <w:rPr>
          <w:szCs w:val="22"/>
        </w:rPr>
      </w:pPr>
    </w:p>
    <w:p w14:paraId="18ED3433" w14:textId="02D223C7" w:rsidR="00692E75" w:rsidRDefault="000911DA" w:rsidP="009075D5">
      <w:pPr>
        <w:tabs>
          <w:tab w:val="clear" w:pos="567"/>
        </w:tabs>
        <w:spacing w:line="240" w:lineRule="auto"/>
        <w:rPr>
          <w:szCs w:val="22"/>
        </w:rPr>
      </w:pPr>
      <w:r w:rsidRPr="000911DA">
        <w:rPr>
          <w:szCs w:val="22"/>
        </w:rPr>
        <w:t>Po wielokrotnym podawaniu podskórnym jednorazowej dawki dziennej 1</w:t>
      </w:r>
      <w:r w:rsidR="004F3EBD">
        <w:rPr>
          <w:szCs w:val="22"/>
        </w:rPr>
        <w:t> </w:t>
      </w:r>
      <w:r w:rsidRPr="000911DA">
        <w:rPr>
          <w:szCs w:val="22"/>
        </w:rPr>
        <w:t>mg/kg przez pięć kolejnych dni akumulacja wynosiła 250%. Maropitant metabolizowany jest w wątrobie przy udziale cytochromu P450 (CYP). Stwierdzono, że u kotów izoformy CYP1A oraz CYP3A</w:t>
      </w:r>
      <w:r w:rsidR="00692E75">
        <w:rPr>
          <w:szCs w:val="22"/>
        </w:rPr>
        <w:t xml:space="preserve"> </w:t>
      </w:r>
      <w:r w:rsidRPr="000911DA">
        <w:rPr>
          <w:szCs w:val="22"/>
        </w:rPr>
        <w:t xml:space="preserve">biorą udział w biotransformacji maropitantu w wątrobie. </w:t>
      </w:r>
    </w:p>
    <w:p w14:paraId="392E7544" w14:textId="77777777" w:rsidR="003C2FD7" w:rsidRDefault="003C2FD7" w:rsidP="009075D5">
      <w:pPr>
        <w:tabs>
          <w:tab w:val="clear" w:pos="567"/>
        </w:tabs>
        <w:spacing w:line="240" w:lineRule="auto"/>
        <w:rPr>
          <w:szCs w:val="22"/>
        </w:rPr>
      </w:pPr>
    </w:p>
    <w:p w14:paraId="2598B5E8" w14:textId="757560CD" w:rsidR="000911DA" w:rsidRPr="004940A5" w:rsidRDefault="5AEB4769" w:rsidP="009075D5">
      <w:pPr>
        <w:tabs>
          <w:tab w:val="clear" w:pos="567"/>
        </w:tabs>
        <w:spacing w:line="240" w:lineRule="auto"/>
      </w:pPr>
      <w:r>
        <w:t>Wydalania maropitantu przez nerki i z kałem są drugorzędnymi drogami eliminacji, przy czym mniej niż 1% dawki podskórnej wynoszącej 1</w:t>
      </w:r>
      <w:r w:rsidR="005D0653">
        <w:t> </w:t>
      </w:r>
      <w:r>
        <w:t>mg/kg stwierdzana jest w moczu lub kale w postaci maropitantu</w:t>
      </w:r>
      <w:r w:rsidR="000911DA">
        <w:t>. Główny metabolit maropitantu stwierdzany był w moczu w ilości 10</w:t>
      </w:r>
      <w:r w:rsidR="00B23D27">
        <w:t>,4</w:t>
      </w:r>
      <w:r w:rsidR="000911DA">
        <w:t>% dawki maropitantu oraz w kale w ilości 9,3%. U kotów wiązanie maropitantu z białkami szacowane jest na 99,1%</w:t>
      </w:r>
      <w:r w:rsidR="00692E75">
        <w:t>.</w:t>
      </w:r>
    </w:p>
    <w:p w14:paraId="48EE990B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6C52DE" w14:textId="77777777" w:rsidR="007E45CD" w:rsidRPr="00692E75" w:rsidRDefault="007E45C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7210CB" w14:textId="77777777" w:rsidR="00C114FF" w:rsidRPr="00BE15AB" w:rsidRDefault="00672623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6FAEE6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9890CE" w14:textId="77777777" w:rsidR="00C114FF" w:rsidRPr="00BE15AB" w:rsidRDefault="00672623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06185D25" w14:textId="77777777" w:rsidR="009075D5" w:rsidRDefault="009075D5" w:rsidP="00A9226B">
      <w:pPr>
        <w:tabs>
          <w:tab w:val="clear" w:pos="567"/>
        </w:tabs>
        <w:spacing w:line="240" w:lineRule="auto"/>
      </w:pPr>
    </w:p>
    <w:p w14:paraId="7C284A2C" w14:textId="41984D6C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Ponieważ nie wykonywano badań dotyczących zgodności, weterynaryjnego produktu leczniczego nie wolno mieszać z innymi weterynaryjnymi produktami leczniczymi.</w:t>
      </w:r>
    </w:p>
    <w:p w14:paraId="1FCCD96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BC827C" w14:textId="77777777" w:rsidR="00C114FF" w:rsidRPr="00BE15AB" w:rsidRDefault="00672623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AE696E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B37FD2C" w14:textId="33697D53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9075D5">
        <w:t xml:space="preserve"> 2</w:t>
      </w:r>
      <w:r w:rsidR="004F3EBD">
        <w:t> </w:t>
      </w:r>
      <w:r w:rsidR="009075D5">
        <w:t>lata.</w:t>
      </w:r>
    </w:p>
    <w:p w14:paraId="5DF87858" w14:textId="70F9B04B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po pierwszym otwarciu opakowania bezpośredniego:</w:t>
      </w:r>
      <w:r w:rsidR="009075D5">
        <w:t xml:space="preserve"> 60</w:t>
      </w:r>
      <w:r w:rsidR="004F3EBD">
        <w:t> </w:t>
      </w:r>
      <w:r w:rsidR="009075D5">
        <w:t>dni.</w:t>
      </w:r>
    </w:p>
    <w:p w14:paraId="0168CF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DA165B" w14:textId="08C90A7E" w:rsidR="00C114FF" w:rsidRPr="00BE15AB" w:rsidRDefault="00672623" w:rsidP="00B13B6D">
      <w:pPr>
        <w:pStyle w:val="Style1"/>
      </w:pPr>
      <w:r w:rsidRPr="00BE15AB">
        <w:t>5.3</w:t>
      </w:r>
      <w:r w:rsidRPr="00BE15AB">
        <w:tab/>
        <w:t>Specjalne środki ostrożności p</w:t>
      </w:r>
      <w:r w:rsidR="00A21BB6">
        <w:t>odczas</w:t>
      </w:r>
      <w:r w:rsidRPr="00BE15AB">
        <w:t xml:space="preserve"> przechowywani</w:t>
      </w:r>
      <w:r w:rsidR="00A21BB6">
        <w:t>a</w:t>
      </w:r>
    </w:p>
    <w:p w14:paraId="4598755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494653" w14:textId="12AA1035" w:rsidR="00C114FF" w:rsidRDefault="00672623" w:rsidP="009075D5">
      <w:pPr>
        <w:tabs>
          <w:tab w:val="clear" w:pos="567"/>
        </w:tabs>
        <w:spacing w:line="240" w:lineRule="auto"/>
      </w:pPr>
      <w:r w:rsidRPr="00BE15AB">
        <w:t>Brak specjalnych środków ostrożności dotyczących przechowywania</w:t>
      </w:r>
      <w:r w:rsidR="00B10C15" w:rsidRPr="00B10C15">
        <w:t xml:space="preserve"> weterynaryjn</w:t>
      </w:r>
      <w:r w:rsidR="00B10C15">
        <w:t>ego</w:t>
      </w:r>
      <w:r w:rsidR="00B10C15" w:rsidRPr="00B10C15">
        <w:t xml:space="preserve"> produkt</w:t>
      </w:r>
      <w:r w:rsidR="00B10C15">
        <w:t>u</w:t>
      </w:r>
      <w:r w:rsidR="00B10C15" w:rsidRPr="00B10C15">
        <w:t xml:space="preserve"> lecznicz</w:t>
      </w:r>
      <w:r w:rsidR="00B10C15">
        <w:t>ego</w:t>
      </w:r>
      <w:r w:rsidRPr="00BE15AB">
        <w:t>.</w:t>
      </w:r>
    </w:p>
    <w:p w14:paraId="6E663FB0" w14:textId="77777777" w:rsidR="009075D5" w:rsidRPr="009075D5" w:rsidRDefault="009075D5" w:rsidP="009075D5">
      <w:pPr>
        <w:tabs>
          <w:tab w:val="clear" w:pos="567"/>
        </w:tabs>
        <w:spacing w:line="240" w:lineRule="auto"/>
        <w:rPr>
          <w:szCs w:val="22"/>
        </w:rPr>
      </w:pPr>
    </w:p>
    <w:p w14:paraId="171BE494" w14:textId="77777777" w:rsidR="00C114FF" w:rsidRPr="00BE15AB" w:rsidRDefault="00672623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241CB02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CB23B9" w14:textId="6A3079E4" w:rsidR="00624A55" w:rsidRDefault="00624A55" w:rsidP="009075D5">
      <w:pPr>
        <w:tabs>
          <w:tab w:val="clear" w:pos="567"/>
        </w:tabs>
        <w:spacing w:line="240" w:lineRule="auto"/>
        <w:rPr>
          <w:szCs w:val="22"/>
        </w:rPr>
      </w:pPr>
      <w:r w:rsidRPr="00624A55">
        <w:rPr>
          <w:szCs w:val="22"/>
        </w:rPr>
        <w:t>Fiolka ze szkła oranżowego typ</w:t>
      </w:r>
      <w:r>
        <w:rPr>
          <w:szCs w:val="22"/>
        </w:rPr>
        <w:t>u</w:t>
      </w:r>
      <w:r w:rsidRPr="00624A55">
        <w:rPr>
          <w:szCs w:val="22"/>
        </w:rPr>
        <w:t xml:space="preserve"> I zamykana </w:t>
      </w:r>
      <w:r>
        <w:rPr>
          <w:szCs w:val="22"/>
        </w:rPr>
        <w:t xml:space="preserve">powlekanym </w:t>
      </w:r>
      <w:r w:rsidRPr="00624A55">
        <w:rPr>
          <w:szCs w:val="22"/>
        </w:rPr>
        <w:t xml:space="preserve">korkiem z gumy </w:t>
      </w:r>
      <w:r>
        <w:rPr>
          <w:szCs w:val="22"/>
        </w:rPr>
        <w:t>bromo</w:t>
      </w:r>
      <w:r w:rsidRPr="00624A55">
        <w:rPr>
          <w:szCs w:val="22"/>
        </w:rPr>
        <w:t xml:space="preserve">butylowej i aluminiowym uszczelnieniem typu flip-off. </w:t>
      </w:r>
    </w:p>
    <w:p w14:paraId="08050738" w14:textId="35ED109A" w:rsidR="00624A55" w:rsidRPr="00624A55" w:rsidRDefault="00624A55" w:rsidP="009075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Każde p</w:t>
      </w:r>
      <w:r w:rsidRPr="00624A55">
        <w:rPr>
          <w:szCs w:val="22"/>
        </w:rPr>
        <w:t>udełko tekturowe zawiera 1 fiolkę</w:t>
      </w:r>
      <w:r>
        <w:rPr>
          <w:szCs w:val="22"/>
        </w:rPr>
        <w:t xml:space="preserve"> zawierającą 20</w:t>
      </w:r>
      <w:r w:rsidR="004F3EBD">
        <w:rPr>
          <w:szCs w:val="22"/>
        </w:rPr>
        <w:t> </w:t>
      </w:r>
      <w:r>
        <w:rPr>
          <w:szCs w:val="22"/>
        </w:rPr>
        <w:t>ml roztworu.</w:t>
      </w:r>
    </w:p>
    <w:p w14:paraId="06BB7F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29E819" w14:textId="75BD861E" w:rsidR="00C114FF" w:rsidRPr="00BE15AB" w:rsidRDefault="00672623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CB9E31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49EBA9" w14:textId="16FD6951" w:rsidR="00FD1E45" w:rsidRPr="00BE15AB" w:rsidRDefault="00672623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1F92C9F7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B41676C" w14:textId="47C5324F" w:rsidR="00C114FF" w:rsidRDefault="00672623" w:rsidP="00A9226B">
      <w:pPr>
        <w:tabs>
          <w:tab w:val="clear" w:pos="567"/>
        </w:tabs>
        <w:spacing w:line="240" w:lineRule="auto"/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58641139" w14:textId="77777777" w:rsidR="005E1499" w:rsidRPr="00BE15AB" w:rsidRDefault="005E14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2971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065232" w14:textId="77777777" w:rsidR="00C114FF" w:rsidRPr="00BE15AB" w:rsidRDefault="00672623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798C21D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31B35" w14:textId="77777777" w:rsidR="009075D5" w:rsidRPr="006414D3" w:rsidRDefault="009075D5" w:rsidP="009075D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Elanco GmbH </w:t>
      </w:r>
    </w:p>
    <w:p w14:paraId="412828E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50D3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C8C9C8" w14:textId="77777777" w:rsidR="00C114FF" w:rsidRPr="00BE15AB" w:rsidRDefault="00672623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19F1A61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363227" w14:textId="77777777" w:rsidR="000209FF" w:rsidRPr="006414D3" w:rsidRDefault="000209FF" w:rsidP="000209FF">
      <w:pPr>
        <w:tabs>
          <w:tab w:val="clear" w:pos="567"/>
        </w:tabs>
        <w:spacing w:line="240" w:lineRule="auto"/>
        <w:rPr>
          <w:szCs w:val="22"/>
        </w:rPr>
      </w:pPr>
      <w:r w:rsidRPr="006414D3">
        <w:rPr>
          <w:szCs w:val="22"/>
        </w:rPr>
        <w:t>EU/</w:t>
      </w:r>
      <w:r>
        <w:rPr>
          <w:szCs w:val="22"/>
        </w:rPr>
        <w:t>2/25/337/001</w:t>
      </w:r>
    </w:p>
    <w:p w14:paraId="667EAA0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92DE71" w14:textId="77777777" w:rsidR="00B23D27" w:rsidRPr="00BE15AB" w:rsidRDefault="00B23D2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4DECA5" w14:textId="77777777" w:rsidR="00C114FF" w:rsidRPr="00BE15AB" w:rsidRDefault="00672623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5C7C337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957E3C" w14:textId="5DAFA441" w:rsidR="00C114FF" w:rsidRPr="00BE15AB" w:rsidRDefault="00672623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Data wydania pierwszego pozwolenia na dopuszczenie do obrotu:</w:t>
      </w:r>
      <w:r w:rsidR="005E1499" w:rsidRPr="00BE15AB">
        <w:t xml:space="preserve"> </w:t>
      </w:r>
      <w:r w:rsidR="00FB624B">
        <w:t>28</w:t>
      </w:r>
      <w:r w:rsidRPr="00BE15AB">
        <w:t xml:space="preserve"> </w:t>
      </w:r>
      <w:r w:rsidR="000C2380">
        <w:t>marca</w:t>
      </w:r>
      <w:r w:rsidRPr="00BE15AB">
        <w:t xml:space="preserve"> </w:t>
      </w:r>
      <w:r w:rsidR="000C2380">
        <w:t>2025</w:t>
      </w:r>
    </w:p>
    <w:p w14:paraId="06189DDD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CE77F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F9E686" w14:textId="1CE24640" w:rsidR="00C114FF" w:rsidRPr="00BE15AB" w:rsidRDefault="00672623" w:rsidP="00B13B6D">
      <w:pPr>
        <w:pStyle w:val="Style1"/>
      </w:pPr>
      <w:r w:rsidRPr="00BE15AB">
        <w:t>9.</w:t>
      </w:r>
      <w:r w:rsidRPr="00BE15AB">
        <w:tab/>
        <w:t xml:space="preserve">DATA OSTATNIEJ AKTUALIZACJI CHARAKTERYSTYKI </w:t>
      </w:r>
      <w:r w:rsidR="00692E75" w:rsidRPr="00BE15AB">
        <w:t>WETER</w:t>
      </w:r>
      <w:r w:rsidR="00692E75">
        <w:t>YN</w:t>
      </w:r>
      <w:r w:rsidR="00692E75" w:rsidRPr="00BE15AB">
        <w:t xml:space="preserve">ARYJNEGO </w:t>
      </w:r>
      <w:r w:rsidRPr="00BE15AB">
        <w:t xml:space="preserve">PRODUKTU LECZNICZEGO </w:t>
      </w:r>
    </w:p>
    <w:p w14:paraId="03B59BF5" w14:textId="77777777" w:rsidR="0078538F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78A786" w14:textId="0F00801B" w:rsidR="005E1499" w:rsidRDefault="0020706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03/2025</w:t>
      </w:r>
    </w:p>
    <w:p w14:paraId="3AD3E686" w14:textId="77777777" w:rsidR="00805E9A" w:rsidRPr="00BE15AB" w:rsidRDefault="00805E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2CC5EA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4FA74C" w14:textId="5875B906" w:rsidR="0078538F" w:rsidRDefault="00672623" w:rsidP="005E1499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10B2A27A" w14:textId="77777777" w:rsidR="005E1499" w:rsidRPr="00BE15AB" w:rsidRDefault="005E1499" w:rsidP="005E1499">
      <w:pPr>
        <w:pStyle w:val="Style1"/>
      </w:pPr>
    </w:p>
    <w:p w14:paraId="1CD1F4BD" w14:textId="4C75B256" w:rsidR="0078538F" w:rsidRPr="00BE15AB" w:rsidRDefault="00672623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7B8CFF19" w14:textId="77777777" w:rsidR="0078538F" w:rsidRPr="00BE15AB" w:rsidRDefault="0078538F" w:rsidP="0078538F">
      <w:pPr>
        <w:ind w:right="-318"/>
        <w:rPr>
          <w:szCs w:val="22"/>
        </w:rPr>
      </w:pPr>
    </w:p>
    <w:p w14:paraId="6B235219" w14:textId="73F1EDA4" w:rsidR="0078538F" w:rsidRDefault="00672623" w:rsidP="0078538F">
      <w:pPr>
        <w:ind w:right="-318"/>
        <w:rPr>
          <w:i/>
          <w:szCs w:val="22"/>
        </w:rPr>
      </w:pPr>
      <w:bookmarkStart w:id="3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11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p w14:paraId="08A26B2A" w14:textId="77777777" w:rsidR="0020706F" w:rsidRDefault="0020706F" w:rsidP="0078538F">
      <w:pPr>
        <w:ind w:right="-318"/>
        <w:rPr>
          <w:i/>
          <w:szCs w:val="22"/>
        </w:rPr>
      </w:pPr>
    </w:p>
    <w:p w14:paraId="4095DC85" w14:textId="05983976" w:rsidR="0020706F" w:rsidRPr="00BE15AB" w:rsidRDefault="0020706F" w:rsidP="0078538F">
      <w:pPr>
        <w:ind w:right="-318"/>
        <w:rPr>
          <w:szCs w:val="22"/>
        </w:rPr>
      </w:pPr>
      <w:r w:rsidRPr="00713432">
        <w:rPr>
          <w:szCs w:val="22"/>
        </w:rPr>
        <w:t>Pozwolenie na dopuszczenie do obrotu wydane przez Komisję Europejską</w:t>
      </w:r>
      <w:r>
        <w:rPr>
          <w:szCs w:val="22"/>
        </w:rPr>
        <w:t>.</w:t>
      </w:r>
    </w:p>
    <w:bookmarkEnd w:id="3"/>
    <w:p w14:paraId="0D9AFCBB" w14:textId="3A4CFC46" w:rsidR="003841FC" w:rsidRDefault="00672623" w:rsidP="0020706F">
      <w:pPr>
        <w:tabs>
          <w:tab w:val="clear" w:pos="567"/>
        </w:tabs>
        <w:spacing w:line="240" w:lineRule="auto"/>
        <w:rPr>
          <w:bCs/>
          <w:szCs w:val="22"/>
        </w:rPr>
      </w:pPr>
      <w:r w:rsidRPr="00BE15AB">
        <w:br w:type="page"/>
      </w:r>
    </w:p>
    <w:p w14:paraId="63A76E27" w14:textId="77777777" w:rsidR="00230F37" w:rsidRPr="00BE15AB" w:rsidRDefault="00230F37" w:rsidP="00230F37">
      <w:pPr>
        <w:tabs>
          <w:tab w:val="clear" w:pos="567"/>
          <w:tab w:val="left" w:pos="0"/>
        </w:tabs>
        <w:rPr>
          <w:bCs/>
          <w:szCs w:val="22"/>
        </w:rPr>
      </w:pPr>
    </w:p>
    <w:sectPr w:rsidR="00230F37" w:rsidRPr="00BE15AB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E8D0" w14:textId="77777777" w:rsidR="002033F6" w:rsidRDefault="002033F6">
      <w:pPr>
        <w:spacing w:line="240" w:lineRule="auto"/>
      </w:pPr>
      <w:r>
        <w:separator/>
      </w:r>
    </w:p>
  </w:endnote>
  <w:endnote w:type="continuationSeparator" w:id="0">
    <w:p w14:paraId="2AFA9C8C" w14:textId="77777777" w:rsidR="002033F6" w:rsidRDefault="002033F6">
      <w:pPr>
        <w:spacing w:line="240" w:lineRule="auto"/>
      </w:pPr>
      <w:r>
        <w:continuationSeparator/>
      </w:r>
    </w:p>
  </w:endnote>
  <w:endnote w:type="continuationNotice" w:id="1">
    <w:p w14:paraId="240542C3" w14:textId="77777777" w:rsidR="002033F6" w:rsidRDefault="002033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36C5" w14:textId="16EAA514" w:rsidR="00E158D0" w:rsidRPr="00BE15AB" w:rsidRDefault="00E158D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66790F">
      <w:rPr>
        <w:rFonts w:ascii="Times New Roman" w:hAnsi="Times New Roman"/>
        <w:noProof/>
      </w:rPr>
      <w:t>2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94DA" w14:textId="77777777" w:rsidR="00E158D0" w:rsidRPr="00BE15AB" w:rsidRDefault="00E158D0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7975" w14:textId="77777777" w:rsidR="002033F6" w:rsidRDefault="002033F6">
      <w:pPr>
        <w:spacing w:line="240" w:lineRule="auto"/>
      </w:pPr>
      <w:r>
        <w:separator/>
      </w:r>
    </w:p>
  </w:footnote>
  <w:footnote w:type="continuationSeparator" w:id="0">
    <w:p w14:paraId="0A0ABFE1" w14:textId="77777777" w:rsidR="002033F6" w:rsidRDefault="002033F6">
      <w:pPr>
        <w:spacing w:line="240" w:lineRule="auto"/>
      </w:pPr>
      <w:r>
        <w:continuationSeparator/>
      </w:r>
    </w:p>
  </w:footnote>
  <w:footnote w:type="continuationNotice" w:id="1">
    <w:p w14:paraId="2F66DB40" w14:textId="77777777" w:rsidR="002033F6" w:rsidRDefault="002033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40BB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C4A64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6601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B0B6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3AF0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6CEA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742E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E667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78AC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389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F1E5458"/>
    <w:multiLevelType w:val="hybridMultilevel"/>
    <w:tmpl w:val="F9CCA746"/>
    <w:lvl w:ilvl="0" w:tplc="E1088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4E7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A5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07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45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AF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0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26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E4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C3C1E"/>
    <w:multiLevelType w:val="hybridMultilevel"/>
    <w:tmpl w:val="BCC6941C"/>
    <w:lvl w:ilvl="0" w:tplc="368CEDD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472E2C9C" w:tentative="1">
      <w:start w:val="1"/>
      <w:numFmt w:val="lowerLetter"/>
      <w:lvlText w:val="%2."/>
      <w:lvlJc w:val="left"/>
      <w:pPr>
        <w:ind w:left="1440" w:hanging="360"/>
      </w:pPr>
    </w:lvl>
    <w:lvl w:ilvl="2" w:tplc="A5FEA772" w:tentative="1">
      <w:start w:val="1"/>
      <w:numFmt w:val="lowerRoman"/>
      <w:lvlText w:val="%3."/>
      <w:lvlJc w:val="right"/>
      <w:pPr>
        <w:ind w:left="2160" w:hanging="180"/>
      </w:pPr>
    </w:lvl>
    <w:lvl w:ilvl="3" w:tplc="44A253AE" w:tentative="1">
      <w:start w:val="1"/>
      <w:numFmt w:val="decimal"/>
      <w:lvlText w:val="%4."/>
      <w:lvlJc w:val="left"/>
      <w:pPr>
        <w:ind w:left="2880" w:hanging="360"/>
      </w:pPr>
    </w:lvl>
    <w:lvl w:ilvl="4" w:tplc="CEA061AC" w:tentative="1">
      <w:start w:val="1"/>
      <w:numFmt w:val="lowerLetter"/>
      <w:lvlText w:val="%5."/>
      <w:lvlJc w:val="left"/>
      <w:pPr>
        <w:ind w:left="3600" w:hanging="360"/>
      </w:pPr>
    </w:lvl>
    <w:lvl w:ilvl="5" w:tplc="70749CE2" w:tentative="1">
      <w:start w:val="1"/>
      <w:numFmt w:val="lowerRoman"/>
      <w:lvlText w:val="%6."/>
      <w:lvlJc w:val="right"/>
      <w:pPr>
        <w:ind w:left="4320" w:hanging="180"/>
      </w:pPr>
    </w:lvl>
    <w:lvl w:ilvl="6" w:tplc="19DC62AE" w:tentative="1">
      <w:start w:val="1"/>
      <w:numFmt w:val="decimal"/>
      <w:lvlText w:val="%7."/>
      <w:lvlJc w:val="left"/>
      <w:pPr>
        <w:ind w:left="5040" w:hanging="360"/>
      </w:pPr>
    </w:lvl>
    <w:lvl w:ilvl="7" w:tplc="4378BFAC" w:tentative="1">
      <w:start w:val="1"/>
      <w:numFmt w:val="lowerLetter"/>
      <w:lvlText w:val="%8."/>
      <w:lvlJc w:val="left"/>
      <w:pPr>
        <w:ind w:left="5760" w:hanging="360"/>
      </w:pPr>
    </w:lvl>
    <w:lvl w:ilvl="8" w:tplc="CEE0EC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5315">
    <w:abstractNumId w:val="11"/>
  </w:num>
  <w:num w:numId="2" w16cid:durableId="1249466464">
    <w:abstractNumId w:val="10"/>
  </w:num>
  <w:num w:numId="3" w16cid:durableId="1566524314">
    <w:abstractNumId w:val="13"/>
  </w:num>
  <w:num w:numId="4" w16cid:durableId="1869833520">
    <w:abstractNumId w:val="12"/>
  </w:num>
  <w:num w:numId="5" w16cid:durableId="327098395">
    <w:abstractNumId w:val="9"/>
  </w:num>
  <w:num w:numId="6" w16cid:durableId="1785691073">
    <w:abstractNumId w:val="7"/>
  </w:num>
  <w:num w:numId="7" w16cid:durableId="1452743401">
    <w:abstractNumId w:val="6"/>
  </w:num>
  <w:num w:numId="8" w16cid:durableId="612906624">
    <w:abstractNumId w:val="5"/>
  </w:num>
  <w:num w:numId="9" w16cid:durableId="1677073146">
    <w:abstractNumId w:val="4"/>
  </w:num>
  <w:num w:numId="10" w16cid:durableId="469905104">
    <w:abstractNumId w:val="8"/>
  </w:num>
  <w:num w:numId="11" w16cid:durableId="237327156">
    <w:abstractNumId w:val="3"/>
  </w:num>
  <w:num w:numId="12" w16cid:durableId="437288629">
    <w:abstractNumId w:val="2"/>
  </w:num>
  <w:num w:numId="13" w16cid:durableId="1836023736">
    <w:abstractNumId w:val="1"/>
  </w:num>
  <w:num w:numId="14" w16cid:durableId="135819633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1084C"/>
    <w:rsid w:val="000131AE"/>
    <w:rsid w:val="000209FF"/>
    <w:rsid w:val="00021B82"/>
    <w:rsid w:val="00024777"/>
    <w:rsid w:val="00024E21"/>
    <w:rsid w:val="00027100"/>
    <w:rsid w:val="00033A77"/>
    <w:rsid w:val="00036C50"/>
    <w:rsid w:val="00044746"/>
    <w:rsid w:val="00050F97"/>
    <w:rsid w:val="000516CD"/>
    <w:rsid w:val="00052D2B"/>
    <w:rsid w:val="00054F55"/>
    <w:rsid w:val="00055801"/>
    <w:rsid w:val="00056102"/>
    <w:rsid w:val="0005623E"/>
    <w:rsid w:val="0005731C"/>
    <w:rsid w:val="00062945"/>
    <w:rsid w:val="00064167"/>
    <w:rsid w:val="000670BE"/>
    <w:rsid w:val="000678CD"/>
    <w:rsid w:val="000756EB"/>
    <w:rsid w:val="0007666D"/>
    <w:rsid w:val="00077951"/>
    <w:rsid w:val="00080453"/>
    <w:rsid w:val="0008169A"/>
    <w:rsid w:val="00082200"/>
    <w:rsid w:val="000849E6"/>
    <w:rsid w:val="000860CE"/>
    <w:rsid w:val="0008639F"/>
    <w:rsid w:val="00087E15"/>
    <w:rsid w:val="000911DA"/>
    <w:rsid w:val="0009204A"/>
    <w:rsid w:val="00092A37"/>
    <w:rsid w:val="000938A6"/>
    <w:rsid w:val="00096E78"/>
    <w:rsid w:val="00097C1E"/>
    <w:rsid w:val="000A1DF5"/>
    <w:rsid w:val="000A5BB0"/>
    <w:rsid w:val="000B2E88"/>
    <w:rsid w:val="000B5768"/>
    <w:rsid w:val="000B7873"/>
    <w:rsid w:val="000C02A1"/>
    <w:rsid w:val="000C1D4F"/>
    <w:rsid w:val="000C2380"/>
    <w:rsid w:val="000C3D0C"/>
    <w:rsid w:val="000C3ED7"/>
    <w:rsid w:val="000C55E6"/>
    <w:rsid w:val="000C687A"/>
    <w:rsid w:val="000C7BE5"/>
    <w:rsid w:val="000D67D0"/>
    <w:rsid w:val="000E195C"/>
    <w:rsid w:val="000E2260"/>
    <w:rsid w:val="000E3602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758E"/>
    <w:rsid w:val="001078D1"/>
    <w:rsid w:val="001109DF"/>
    <w:rsid w:val="00111185"/>
    <w:rsid w:val="00115782"/>
    <w:rsid w:val="00116BE8"/>
    <w:rsid w:val="00124F36"/>
    <w:rsid w:val="00125666"/>
    <w:rsid w:val="00125C80"/>
    <w:rsid w:val="00133631"/>
    <w:rsid w:val="00134379"/>
    <w:rsid w:val="001359C0"/>
    <w:rsid w:val="0013799F"/>
    <w:rsid w:val="00140DF6"/>
    <w:rsid w:val="001423F5"/>
    <w:rsid w:val="00142A1F"/>
    <w:rsid w:val="00145C3F"/>
    <w:rsid w:val="00145D34"/>
    <w:rsid w:val="00146284"/>
    <w:rsid w:val="0014690F"/>
    <w:rsid w:val="00146EC2"/>
    <w:rsid w:val="0015098E"/>
    <w:rsid w:val="00156125"/>
    <w:rsid w:val="00164543"/>
    <w:rsid w:val="001674D3"/>
    <w:rsid w:val="00172771"/>
    <w:rsid w:val="00175264"/>
    <w:rsid w:val="00175542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16FB"/>
    <w:rsid w:val="00192045"/>
    <w:rsid w:val="00192D98"/>
    <w:rsid w:val="00193B14"/>
    <w:rsid w:val="00193E72"/>
    <w:rsid w:val="001940EC"/>
    <w:rsid w:val="00195267"/>
    <w:rsid w:val="00195A89"/>
    <w:rsid w:val="0019600B"/>
    <w:rsid w:val="0019686E"/>
    <w:rsid w:val="00196CDF"/>
    <w:rsid w:val="001A096F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4CE4"/>
    <w:rsid w:val="001D6052"/>
    <w:rsid w:val="001D6D96"/>
    <w:rsid w:val="001E5621"/>
    <w:rsid w:val="001F3239"/>
    <w:rsid w:val="001F3EF9"/>
    <w:rsid w:val="001F627D"/>
    <w:rsid w:val="001F6622"/>
    <w:rsid w:val="0020012E"/>
    <w:rsid w:val="0020036A"/>
    <w:rsid w:val="00200EFE"/>
    <w:rsid w:val="0020126C"/>
    <w:rsid w:val="002033F6"/>
    <w:rsid w:val="00204DCB"/>
    <w:rsid w:val="00205D19"/>
    <w:rsid w:val="00206F93"/>
    <w:rsid w:val="0020706F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0F37"/>
    <w:rsid w:val="0023676E"/>
    <w:rsid w:val="002414B6"/>
    <w:rsid w:val="002422EB"/>
    <w:rsid w:val="00242397"/>
    <w:rsid w:val="00242DFF"/>
    <w:rsid w:val="00247A48"/>
    <w:rsid w:val="00250DD1"/>
    <w:rsid w:val="00251183"/>
    <w:rsid w:val="00251592"/>
    <w:rsid w:val="00251689"/>
    <w:rsid w:val="0025267C"/>
    <w:rsid w:val="00253B6B"/>
    <w:rsid w:val="002571A5"/>
    <w:rsid w:val="00263291"/>
    <w:rsid w:val="00263390"/>
    <w:rsid w:val="00265656"/>
    <w:rsid w:val="00265E77"/>
    <w:rsid w:val="00266155"/>
    <w:rsid w:val="002679B9"/>
    <w:rsid w:val="0027270B"/>
    <w:rsid w:val="00274D17"/>
    <w:rsid w:val="00277087"/>
    <w:rsid w:val="00282E7B"/>
    <w:rsid w:val="002838C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710D"/>
    <w:rsid w:val="002B0F11"/>
    <w:rsid w:val="002B2E17"/>
    <w:rsid w:val="002B3413"/>
    <w:rsid w:val="002B439F"/>
    <w:rsid w:val="002B6560"/>
    <w:rsid w:val="002B79A8"/>
    <w:rsid w:val="002C55FF"/>
    <w:rsid w:val="002C592B"/>
    <w:rsid w:val="002C7845"/>
    <w:rsid w:val="002C7F61"/>
    <w:rsid w:val="002D300D"/>
    <w:rsid w:val="002D30E8"/>
    <w:rsid w:val="002D5B46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39A3"/>
    <w:rsid w:val="00316E87"/>
    <w:rsid w:val="00322D92"/>
    <w:rsid w:val="0032453E"/>
    <w:rsid w:val="00325053"/>
    <w:rsid w:val="003256AC"/>
    <w:rsid w:val="0033129D"/>
    <w:rsid w:val="003320ED"/>
    <w:rsid w:val="0033480E"/>
    <w:rsid w:val="00337123"/>
    <w:rsid w:val="003401FB"/>
    <w:rsid w:val="00341866"/>
    <w:rsid w:val="00342C0C"/>
    <w:rsid w:val="00350911"/>
    <w:rsid w:val="003523CB"/>
    <w:rsid w:val="003535E0"/>
    <w:rsid w:val="003543AC"/>
    <w:rsid w:val="00355D02"/>
    <w:rsid w:val="00360808"/>
    <w:rsid w:val="00360BA8"/>
    <w:rsid w:val="003634F0"/>
    <w:rsid w:val="00366F56"/>
    <w:rsid w:val="003678BB"/>
    <w:rsid w:val="003737C8"/>
    <w:rsid w:val="0037543B"/>
    <w:rsid w:val="0037589D"/>
    <w:rsid w:val="00376322"/>
    <w:rsid w:val="00376BB1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B91"/>
    <w:rsid w:val="003A2D51"/>
    <w:rsid w:val="003A31B9"/>
    <w:rsid w:val="003A3E2F"/>
    <w:rsid w:val="003A65A4"/>
    <w:rsid w:val="003A6CCB"/>
    <w:rsid w:val="003B01E0"/>
    <w:rsid w:val="003B10C4"/>
    <w:rsid w:val="003B26F2"/>
    <w:rsid w:val="003B2DD8"/>
    <w:rsid w:val="003B48EB"/>
    <w:rsid w:val="003B5CD1"/>
    <w:rsid w:val="003C05B1"/>
    <w:rsid w:val="003C2FD7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783"/>
    <w:rsid w:val="003F3CE6"/>
    <w:rsid w:val="003F677F"/>
    <w:rsid w:val="004008F6"/>
    <w:rsid w:val="004048C2"/>
    <w:rsid w:val="00404F5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4602"/>
    <w:rsid w:val="004371A3"/>
    <w:rsid w:val="004413FE"/>
    <w:rsid w:val="00443177"/>
    <w:rsid w:val="00444327"/>
    <w:rsid w:val="00446960"/>
    <w:rsid w:val="00446BA5"/>
    <w:rsid w:val="00446F37"/>
    <w:rsid w:val="00447AFB"/>
    <w:rsid w:val="004518A6"/>
    <w:rsid w:val="00453E1D"/>
    <w:rsid w:val="00454589"/>
    <w:rsid w:val="00454C3E"/>
    <w:rsid w:val="00456B5E"/>
    <w:rsid w:val="00456ED0"/>
    <w:rsid w:val="00457550"/>
    <w:rsid w:val="00457B74"/>
    <w:rsid w:val="00461B2A"/>
    <w:rsid w:val="004620A4"/>
    <w:rsid w:val="004632E6"/>
    <w:rsid w:val="00466B82"/>
    <w:rsid w:val="00470243"/>
    <w:rsid w:val="00474C50"/>
    <w:rsid w:val="004771F9"/>
    <w:rsid w:val="00484015"/>
    <w:rsid w:val="00486006"/>
    <w:rsid w:val="00486BAD"/>
    <w:rsid w:val="00486BBE"/>
    <w:rsid w:val="00487123"/>
    <w:rsid w:val="004940A5"/>
    <w:rsid w:val="00495A75"/>
    <w:rsid w:val="00495CAE"/>
    <w:rsid w:val="004967CD"/>
    <w:rsid w:val="004971C2"/>
    <w:rsid w:val="00497E38"/>
    <w:rsid w:val="00497F40"/>
    <w:rsid w:val="004A1BD5"/>
    <w:rsid w:val="004A47F8"/>
    <w:rsid w:val="004A61E1"/>
    <w:rsid w:val="004B1A75"/>
    <w:rsid w:val="004B2344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23A1"/>
    <w:rsid w:val="004E493C"/>
    <w:rsid w:val="004E623E"/>
    <w:rsid w:val="004E7092"/>
    <w:rsid w:val="004E719E"/>
    <w:rsid w:val="004E7ECE"/>
    <w:rsid w:val="004F0279"/>
    <w:rsid w:val="004F31DB"/>
    <w:rsid w:val="004F3EBD"/>
    <w:rsid w:val="004F4DB1"/>
    <w:rsid w:val="004F6F64"/>
    <w:rsid w:val="005004EC"/>
    <w:rsid w:val="00501D0E"/>
    <w:rsid w:val="00502C1A"/>
    <w:rsid w:val="00506AAE"/>
    <w:rsid w:val="00512F9C"/>
    <w:rsid w:val="00517756"/>
    <w:rsid w:val="005202C6"/>
    <w:rsid w:val="00523C53"/>
    <w:rsid w:val="00527B8F"/>
    <w:rsid w:val="0053219C"/>
    <w:rsid w:val="005369BB"/>
    <w:rsid w:val="005409EF"/>
    <w:rsid w:val="0054134B"/>
    <w:rsid w:val="00542012"/>
    <w:rsid w:val="00543163"/>
    <w:rsid w:val="00543DF5"/>
    <w:rsid w:val="005440B2"/>
    <w:rsid w:val="00545A61"/>
    <w:rsid w:val="0055260D"/>
    <w:rsid w:val="00555422"/>
    <w:rsid w:val="005556AC"/>
    <w:rsid w:val="00555810"/>
    <w:rsid w:val="00555FB1"/>
    <w:rsid w:val="005560F0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95FE1"/>
    <w:rsid w:val="005A4CBE"/>
    <w:rsid w:val="005A6C52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4647"/>
    <w:rsid w:val="005C5FB9"/>
    <w:rsid w:val="005D0653"/>
    <w:rsid w:val="005D1094"/>
    <w:rsid w:val="005D380C"/>
    <w:rsid w:val="005D572E"/>
    <w:rsid w:val="005D6E04"/>
    <w:rsid w:val="005D7A12"/>
    <w:rsid w:val="005E1499"/>
    <w:rsid w:val="005E53EE"/>
    <w:rsid w:val="005F0542"/>
    <w:rsid w:val="005F0F72"/>
    <w:rsid w:val="005F1C1F"/>
    <w:rsid w:val="005F346D"/>
    <w:rsid w:val="005F38FB"/>
    <w:rsid w:val="005F4665"/>
    <w:rsid w:val="005F5167"/>
    <w:rsid w:val="005F7A59"/>
    <w:rsid w:val="00600E47"/>
    <w:rsid w:val="00602582"/>
    <w:rsid w:val="00602D3B"/>
    <w:rsid w:val="0060326F"/>
    <w:rsid w:val="00606EA1"/>
    <w:rsid w:val="006128F0"/>
    <w:rsid w:val="0061726B"/>
    <w:rsid w:val="00617B81"/>
    <w:rsid w:val="0062144E"/>
    <w:rsid w:val="00622DBC"/>
    <w:rsid w:val="0062387A"/>
    <w:rsid w:val="00624A55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44BAA"/>
    <w:rsid w:val="0065320F"/>
    <w:rsid w:val="00653D64"/>
    <w:rsid w:val="00654E13"/>
    <w:rsid w:val="00667489"/>
    <w:rsid w:val="0066790F"/>
    <w:rsid w:val="00670972"/>
    <w:rsid w:val="00670D44"/>
    <w:rsid w:val="00672623"/>
    <w:rsid w:val="00673F4C"/>
    <w:rsid w:val="006743E2"/>
    <w:rsid w:val="006767F5"/>
    <w:rsid w:val="00676AFC"/>
    <w:rsid w:val="006807CD"/>
    <w:rsid w:val="00682D43"/>
    <w:rsid w:val="00685BAF"/>
    <w:rsid w:val="00687E5C"/>
    <w:rsid w:val="00690463"/>
    <w:rsid w:val="00692E75"/>
    <w:rsid w:val="00693DE5"/>
    <w:rsid w:val="00696F32"/>
    <w:rsid w:val="006A0D03"/>
    <w:rsid w:val="006A41E9"/>
    <w:rsid w:val="006A6C1D"/>
    <w:rsid w:val="006B12CB"/>
    <w:rsid w:val="006B2030"/>
    <w:rsid w:val="006B2D4A"/>
    <w:rsid w:val="006B50FB"/>
    <w:rsid w:val="006B5916"/>
    <w:rsid w:val="006B7FE2"/>
    <w:rsid w:val="006C4775"/>
    <w:rsid w:val="006C4F4A"/>
    <w:rsid w:val="006C5E80"/>
    <w:rsid w:val="006C7CEE"/>
    <w:rsid w:val="006D075E"/>
    <w:rsid w:val="006D09DC"/>
    <w:rsid w:val="006D3509"/>
    <w:rsid w:val="006D69AE"/>
    <w:rsid w:val="006D7C6E"/>
    <w:rsid w:val="006E042A"/>
    <w:rsid w:val="006E15A2"/>
    <w:rsid w:val="006E2F95"/>
    <w:rsid w:val="006F148B"/>
    <w:rsid w:val="00701108"/>
    <w:rsid w:val="00705EAF"/>
    <w:rsid w:val="0070773E"/>
    <w:rsid w:val="007101CC"/>
    <w:rsid w:val="007151CE"/>
    <w:rsid w:val="00715C55"/>
    <w:rsid w:val="00715E45"/>
    <w:rsid w:val="00724E3B"/>
    <w:rsid w:val="00725EEA"/>
    <w:rsid w:val="007276B6"/>
    <w:rsid w:val="00730006"/>
    <w:rsid w:val="00730CE9"/>
    <w:rsid w:val="0073213B"/>
    <w:rsid w:val="0073373D"/>
    <w:rsid w:val="0073435E"/>
    <w:rsid w:val="00743589"/>
    <w:rsid w:val="007439DB"/>
    <w:rsid w:val="00746009"/>
    <w:rsid w:val="007568D8"/>
    <w:rsid w:val="00765316"/>
    <w:rsid w:val="007708C8"/>
    <w:rsid w:val="0077719D"/>
    <w:rsid w:val="00780DF0"/>
    <w:rsid w:val="007810B7"/>
    <w:rsid w:val="00782BA9"/>
    <w:rsid w:val="00782F0F"/>
    <w:rsid w:val="00783A99"/>
    <w:rsid w:val="0078538F"/>
    <w:rsid w:val="007855FA"/>
    <w:rsid w:val="00787482"/>
    <w:rsid w:val="007A0548"/>
    <w:rsid w:val="007A1F54"/>
    <w:rsid w:val="007A286D"/>
    <w:rsid w:val="007A314D"/>
    <w:rsid w:val="007A38DF"/>
    <w:rsid w:val="007A607E"/>
    <w:rsid w:val="007B00E5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212B"/>
    <w:rsid w:val="007D73FB"/>
    <w:rsid w:val="007E2F2D"/>
    <w:rsid w:val="007E45CD"/>
    <w:rsid w:val="007F1433"/>
    <w:rsid w:val="007F1491"/>
    <w:rsid w:val="007F17E1"/>
    <w:rsid w:val="007F26F2"/>
    <w:rsid w:val="007F2F03"/>
    <w:rsid w:val="00800FE0"/>
    <w:rsid w:val="00804DE7"/>
    <w:rsid w:val="00805E9A"/>
    <w:rsid w:val="008066AD"/>
    <w:rsid w:val="00814AF1"/>
    <w:rsid w:val="0081517F"/>
    <w:rsid w:val="00815370"/>
    <w:rsid w:val="0082153D"/>
    <w:rsid w:val="008255AA"/>
    <w:rsid w:val="00825A6E"/>
    <w:rsid w:val="00830FF3"/>
    <w:rsid w:val="0083317D"/>
    <w:rsid w:val="008334BF"/>
    <w:rsid w:val="00836B8C"/>
    <w:rsid w:val="00840062"/>
    <w:rsid w:val="008410C5"/>
    <w:rsid w:val="008461D9"/>
    <w:rsid w:val="00846C08"/>
    <w:rsid w:val="008530E7"/>
    <w:rsid w:val="00856BDB"/>
    <w:rsid w:val="00857675"/>
    <w:rsid w:val="00861C9B"/>
    <w:rsid w:val="00861E49"/>
    <w:rsid w:val="00872C4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77D"/>
    <w:rsid w:val="008A2E07"/>
    <w:rsid w:val="008A5665"/>
    <w:rsid w:val="008B24A8"/>
    <w:rsid w:val="008B25E4"/>
    <w:rsid w:val="008B3D78"/>
    <w:rsid w:val="008B5A20"/>
    <w:rsid w:val="008C1A0C"/>
    <w:rsid w:val="008C261B"/>
    <w:rsid w:val="008C4FCA"/>
    <w:rsid w:val="008C6C37"/>
    <w:rsid w:val="008C6DD8"/>
    <w:rsid w:val="008C7882"/>
    <w:rsid w:val="008D2261"/>
    <w:rsid w:val="008D2D69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E7F87"/>
    <w:rsid w:val="008F2A5A"/>
    <w:rsid w:val="008F3B80"/>
    <w:rsid w:val="008F4645"/>
    <w:rsid w:val="008F4DEF"/>
    <w:rsid w:val="008F7287"/>
    <w:rsid w:val="008F7392"/>
    <w:rsid w:val="008F7FB9"/>
    <w:rsid w:val="00903D0D"/>
    <w:rsid w:val="009048E1"/>
    <w:rsid w:val="009053FB"/>
    <w:rsid w:val="0090598C"/>
    <w:rsid w:val="009071BB"/>
    <w:rsid w:val="009075D5"/>
    <w:rsid w:val="00913885"/>
    <w:rsid w:val="00914707"/>
    <w:rsid w:val="00915ABF"/>
    <w:rsid w:val="00921CAD"/>
    <w:rsid w:val="00927FC9"/>
    <w:rsid w:val="009311ED"/>
    <w:rsid w:val="00931D41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A45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5676"/>
    <w:rsid w:val="00976467"/>
    <w:rsid w:val="00976D32"/>
    <w:rsid w:val="009844F7"/>
    <w:rsid w:val="00987F21"/>
    <w:rsid w:val="0099052C"/>
    <w:rsid w:val="00991E86"/>
    <w:rsid w:val="009938F7"/>
    <w:rsid w:val="009943D7"/>
    <w:rsid w:val="009A05AA"/>
    <w:rsid w:val="009A2D5A"/>
    <w:rsid w:val="009A406B"/>
    <w:rsid w:val="009A6509"/>
    <w:rsid w:val="009A6E2F"/>
    <w:rsid w:val="009B1110"/>
    <w:rsid w:val="009B2969"/>
    <w:rsid w:val="009B2C7E"/>
    <w:rsid w:val="009B6DBD"/>
    <w:rsid w:val="009B7E54"/>
    <w:rsid w:val="009C108A"/>
    <w:rsid w:val="009C1632"/>
    <w:rsid w:val="009C2E47"/>
    <w:rsid w:val="009C56BC"/>
    <w:rsid w:val="009C6319"/>
    <w:rsid w:val="009C6BFB"/>
    <w:rsid w:val="009D0C05"/>
    <w:rsid w:val="009D3E36"/>
    <w:rsid w:val="009D4BAA"/>
    <w:rsid w:val="009E2C00"/>
    <w:rsid w:val="009E49AD"/>
    <w:rsid w:val="009E4CC5"/>
    <w:rsid w:val="009E66FE"/>
    <w:rsid w:val="009E70F4"/>
    <w:rsid w:val="009E72A3"/>
    <w:rsid w:val="009F1AD2"/>
    <w:rsid w:val="00A00C78"/>
    <w:rsid w:val="00A01D28"/>
    <w:rsid w:val="00A0479E"/>
    <w:rsid w:val="00A07979"/>
    <w:rsid w:val="00A11755"/>
    <w:rsid w:val="00A16BF8"/>
    <w:rsid w:val="00A20751"/>
    <w:rsid w:val="00A207FB"/>
    <w:rsid w:val="00A21BB6"/>
    <w:rsid w:val="00A24016"/>
    <w:rsid w:val="00A240B5"/>
    <w:rsid w:val="00A250BA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67DBC"/>
    <w:rsid w:val="00A704A3"/>
    <w:rsid w:val="00A75E23"/>
    <w:rsid w:val="00A80A3E"/>
    <w:rsid w:val="00A812A6"/>
    <w:rsid w:val="00A82AA0"/>
    <w:rsid w:val="00A82F8A"/>
    <w:rsid w:val="00A84622"/>
    <w:rsid w:val="00A84BF0"/>
    <w:rsid w:val="00A8670F"/>
    <w:rsid w:val="00A8683D"/>
    <w:rsid w:val="00A9226B"/>
    <w:rsid w:val="00A9575C"/>
    <w:rsid w:val="00A95B56"/>
    <w:rsid w:val="00A969AF"/>
    <w:rsid w:val="00AA36D6"/>
    <w:rsid w:val="00AB1A2E"/>
    <w:rsid w:val="00AB328A"/>
    <w:rsid w:val="00AB4918"/>
    <w:rsid w:val="00AB493D"/>
    <w:rsid w:val="00AB4BC8"/>
    <w:rsid w:val="00AB6BA7"/>
    <w:rsid w:val="00AB7BE8"/>
    <w:rsid w:val="00AD0710"/>
    <w:rsid w:val="00AD4DB9"/>
    <w:rsid w:val="00AD63C0"/>
    <w:rsid w:val="00AD730D"/>
    <w:rsid w:val="00AD7E99"/>
    <w:rsid w:val="00AE35B2"/>
    <w:rsid w:val="00AE6AA0"/>
    <w:rsid w:val="00AF0A8B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3D27"/>
    <w:rsid w:val="00B2603F"/>
    <w:rsid w:val="00B279AD"/>
    <w:rsid w:val="00B27D2B"/>
    <w:rsid w:val="00B304E7"/>
    <w:rsid w:val="00B318B6"/>
    <w:rsid w:val="00B3499B"/>
    <w:rsid w:val="00B34FEC"/>
    <w:rsid w:val="00B41F47"/>
    <w:rsid w:val="00B44468"/>
    <w:rsid w:val="00B5153D"/>
    <w:rsid w:val="00B521CD"/>
    <w:rsid w:val="00B52DF7"/>
    <w:rsid w:val="00B56081"/>
    <w:rsid w:val="00B60AC9"/>
    <w:rsid w:val="00B61346"/>
    <w:rsid w:val="00B645D7"/>
    <w:rsid w:val="00B67323"/>
    <w:rsid w:val="00B715F2"/>
    <w:rsid w:val="00B720FC"/>
    <w:rsid w:val="00B74071"/>
    <w:rsid w:val="00B7428E"/>
    <w:rsid w:val="00B74B67"/>
    <w:rsid w:val="00B75580"/>
    <w:rsid w:val="00B75D49"/>
    <w:rsid w:val="00B779AA"/>
    <w:rsid w:val="00B81C1A"/>
    <w:rsid w:val="00B81C95"/>
    <w:rsid w:val="00B82330"/>
    <w:rsid w:val="00B82ED4"/>
    <w:rsid w:val="00B8424F"/>
    <w:rsid w:val="00B86896"/>
    <w:rsid w:val="00B86D64"/>
    <w:rsid w:val="00B875A6"/>
    <w:rsid w:val="00B93E4C"/>
    <w:rsid w:val="00B94A1B"/>
    <w:rsid w:val="00BA5C89"/>
    <w:rsid w:val="00BB04EB"/>
    <w:rsid w:val="00BB2539"/>
    <w:rsid w:val="00BB2FBC"/>
    <w:rsid w:val="00BB4CE2"/>
    <w:rsid w:val="00BB5EF0"/>
    <w:rsid w:val="00BB6724"/>
    <w:rsid w:val="00BB7837"/>
    <w:rsid w:val="00BC0EFB"/>
    <w:rsid w:val="00BC2E39"/>
    <w:rsid w:val="00BC5BB3"/>
    <w:rsid w:val="00BD011C"/>
    <w:rsid w:val="00BD2364"/>
    <w:rsid w:val="00BD28E3"/>
    <w:rsid w:val="00BE117E"/>
    <w:rsid w:val="00BE15AB"/>
    <w:rsid w:val="00BE292E"/>
    <w:rsid w:val="00BE3261"/>
    <w:rsid w:val="00BF00EF"/>
    <w:rsid w:val="00BF58FC"/>
    <w:rsid w:val="00C00FC1"/>
    <w:rsid w:val="00C01F77"/>
    <w:rsid w:val="00C01FFC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241C9"/>
    <w:rsid w:val="00C26184"/>
    <w:rsid w:val="00C31C90"/>
    <w:rsid w:val="00C32989"/>
    <w:rsid w:val="00C33ADB"/>
    <w:rsid w:val="00C36883"/>
    <w:rsid w:val="00C408EC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8F6"/>
    <w:rsid w:val="00C840C2"/>
    <w:rsid w:val="00C84101"/>
    <w:rsid w:val="00C8528F"/>
    <w:rsid w:val="00C8535F"/>
    <w:rsid w:val="00C86D3B"/>
    <w:rsid w:val="00C90AF4"/>
    <w:rsid w:val="00C90EDA"/>
    <w:rsid w:val="00C959E7"/>
    <w:rsid w:val="00CA0FCF"/>
    <w:rsid w:val="00CA3D7A"/>
    <w:rsid w:val="00CA7B6F"/>
    <w:rsid w:val="00CB360E"/>
    <w:rsid w:val="00CC1E65"/>
    <w:rsid w:val="00CC567A"/>
    <w:rsid w:val="00CD4059"/>
    <w:rsid w:val="00CD4E5A"/>
    <w:rsid w:val="00CD52CB"/>
    <w:rsid w:val="00CD6AFD"/>
    <w:rsid w:val="00CD6B6D"/>
    <w:rsid w:val="00CE03CE"/>
    <w:rsid w:val="00CE0F5D"/>
    <w:rsid w:val="00CE1A6A"/>
    <w:rsid w:val="00CE447D"/>
    <w:rsid w:val="00CF0DFF"/>
    <w:rsid w:val="00CF2BDE"/>
    <w:rsid w:val="00CF581F"/>
    <w:rsid w:val="00D028A9"/>
    <w:rsid w:val="00D029BA"/>
    <w:rsid w:val="00D0359D"/>
    <w:rsid w:val="00D04CD9"/>
    <w:rsid w:val="00D04DED"/>
    <w:rsid w:val="00D07DE7"/>
    <w:rsid w:val="00D101B6"/>
    <w:rsid w:val="00D1089A"/>
    <w:rsid w:val="00D116BD"/>
    <w:rsid w:val="00D15BAD"/>
    <w:rsid w:val="00D2001A"/>
    <w:rsid w:val="00D20684"/>
    <w:rsid w:val="00D20743"/>
    <w:rsid w:val="00D26B62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3307"/>
    <w:rsid w:val="00D5338C"/>
    <w:rsid w:val="00D606B2"/>
    <w:rsid w:val="00D625A7"/>
    <w:rsid w:val="00D64074"/>
    <w:rsid w:val="00D65777"/>
    <w:rsid w:val="00D66A54"/>
    <w:rsid w:val="00D728A0"/>
    <w:rsid w:val="00D75E85"/>
    <w:rsid w:val="00D82A20"/>
    <w:rsid w:val="00D83661"/>
    <w:rsid w:val="00D9216A"/>
    <w:rsid w:val="00D97E7D"/>
    <w:rsid w:val="00DB3439"/>
    <w:rsid w:val="00DB3618"/>
    <w:rsid w:val="00DB468A"/>
    <w:rsid w:val="00DB73B3"/>
    <w:rsid w:val="00DC2946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E6858"/>
    <w:rsid w:val="00DF0435"/>
    <w:rsid w:val="00DF0ACA"/>
    <w:rsid w:val="00DF0CD0"/>
    <w:rsid w:val="00DF2245"/>
    <w:rsid w:val="00DF2953"/>
    <w:rsid w:val="00DF3EB5"/>
    <w:rsid w:val="00DF4CE9"/>
    <w:rsid w:val="00DF6E7F"/>
    <w:rsid w:val="00DF77CF"/>
    <w:rsid w:val="00E02374"/>
    <w:rsid w:val="00E026E8"/>
    <w:rsid w:val="00E0382C"/>
    <w:rsid w:val="00E060F7"/>
    <w:rsid w:val="00E06678"/>
    <w:rsid w:val="00E10583"/>
    <w:rsid w:val="00E12E4F"/>
    <w:rsid w:val="00E14C47"/>
    <w:rsid w:val="00E158D0"/>
    <w:rsid w:val="00E16C88"/>
    <w:rsid w:val="00E17CCB"/>
    <w:rsid w:val="00E22698"/>
    <w:rsid w:val="00E25B7C"/>
    <w:rsid w:val="00E3076B"/>
    <w:rsid w:val="00E3138B"/>
    <w:rsid w:val="00E33472"/>
    <w:rsid w:val="00E34003"/>
    <w:rsid w:val="00E355E9"/>
    <w:rsid w:val="00E3725B"/>
    <w:rsid w:val="00E434D1"/>
    <w:rsid w:val="00E4706B"/>
    <w:rsid w:val="00E4732C"/>
    <w:rsid w:val="00E517BA"/>
    <w:rsid w:val="00E5253B"/>
    <w:rsid w:val="00E55290"/>
    <w:rsid w:val="00E56CBB"/>
    <w:rsid w:val="00E601AF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B0E20"/>
    <w:rsid w:val="00EB1680"/>
    <w:rsid w:val="00EB1A80"/>
    <w:rsid w:val="00EB23C3"/>
    <w:rsid w:val="00EB457B"/>
    <w:rsid w:val="00EB534B"/>
    <w:rsid w:val="00EB63F8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6CB1"/>
    <w:rsid w:val="00EE7AC7"/>
    <w:rsid w:val="00EE7B3F"/>
    <w:rsid w:val="00EF374E"/>
    <w:rsid w:val="00EF3A8A"/>
    <w:rsid w:val="00EF70ED"/>
    <w:rsid w:val="00EF765E"/>
    <w:rsid w:val="00F0054D"/>
    <w:rsid w:val="00F00DB6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3927"/>
    <w:rsid w:val="00F26A05"/>
    <w:rsid w:val="00F272B9"/>
    <w:rsid w:val="00F307CE"/>
    <w:rsid w:val="00F33B3E"/>
    <w:rsid w:val="00F343C8"/>
    <w:rsid w:val="00F354C5"/>
    <w:rsid w:val="00F37108"/>
    <w:rsid w:val="00F40449"/>
    <w:rsid w:val="00F44864"/>
    <w:rsid w:val="00F4586B"/>
    <w:rsid w:val="00F45B8E"/>
    <w:rsid w:val="00F47BAA"/>
    <w:rsid w:val="00F520FE"/>
    <w:rsid w:val="00F52EAB"/>
    <w:rsid w:val="00F53C98"/>
    <w:rsid w:val="00F54201"/>
    <w:rsid w:val="00F54472"/>
    <w:rsid w:val="00F55A04"/>
    <w:rsid w:val="00F61A31"/>
    <w:rsid w:val="00F63921"/>
    <w:rsid w:val="00F66741"/>
    <w:rsid w:val="00F66F00"/>
    <w:rsid w:val="00F67A2D"/>
    <w:rsid w:val="00F70A1B"/>
    <w:rsid w:val="00F72FDF"/>
    <w:rsid w:val="00F732AA"/>
    <w:rsid w:val="00F75960"/>
    <w:rsid w:val="00F82526"/>
    <w:rsid w:val="00F82D0C"/>
    <w:rsid w:val="00F84672"/>
    <w:rsid w:val="00F8480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09EE"/>
    <w:rsid w:val="00FB0C29"/>
    <w:rsid w:val="00FB1BAE"/>
    <w:rsid w:val="00FB207A"/>
    <w:rsid w:val="00FB2886"/>
    <w:rsid w:val="00FB466E"/>
    <w:rsid w:val="00FB54C9"/>
    <w:rsid w:val="00FB624B"/>
    <w:rsid w:val="00FC02F3"/>
    <w:rsid w:val="00FC1140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F18D2"/>
    <w:rsid w:val="00FF22F5"/>
    <w:rsid w:val="00FF4664"/>
    <w:rsid w:val="00FF7577"/>
    <w:rsid w:val="00FF7CEF"/>
    <w:rsid w:val="04E6D8B1"/>
    <w:rsid w:val="065ED5B9"/>
    <w:rsid w:val="0B86F18C"/>
    <w:rsid w:val="0E7A6851"/>
    <w:rsid w:val="0EE00463"/>
    <w:rsid w:val="0FE19D68"/>
    <w:rsid w:val="1CB60174"/>
    <w:rsid w:val="1D1DC1B9"/>
    <w:rsid w:val="20BD2655"/>
    <w:rsid w:val="21025638"/>
    <w:rsid w:val="22F12058"/>
    <w:rsid w:val="240ADEDB"/>
    <w:rsid w:val="33681644"/>
    <w:rsid w:val="3445B039"/>
    <w:rsid w:val="35457FD7"/>
    <w:rsid w:val="37E4002E"/>
    <w:rsid w:val="3814BF37"/>
    <w:rsid w:val="391B2521"/>
    <w:rsid w:val="395193C5"/>
    <w:rsid w:val="3AD39570"/>
    <w:rsid w:val="3B80D72E"/>
    <w:rsid w:val="3BFF2470"/>
    <w:rsid w:val="3D3976D3"/>
    <w:rsid w:val="3E01F707"/>
    <w:rsid w:val="3E7E3CEC"/>
    <w:rsid w:val="411272EC"/>
    <w:rsid w:val="4382F564"/>
    <w:rsid w:val="48CB8FFB"/>
    <w:rsid w:val="4AE8AD0A"/>
    <w:rsid w:val="52D0953B"/>
    <w:rsid w:val="55F5E1EC"/>
    <w:rsid w:val="585BAA28"/>
    <w:rsid w:val="5A8BB28E"/>
    <w:rsid w:val="5AEB4769"/>
    <w:rsid w:val="5CE4009D"/>
    <w:rsid w:val="5F553E0A"/>
    <w:rsid w:val="62B9BA4E"/>
    <w:rsid w:val="670A6958"/>
    <w:rsid w:val="67FC5489"/>
    <w:rsid w:val="6B50E96B"/>
    <w:rsid w:val="6F34D0D7"/>
    <w:rsid w:val="6F80E38C"/>
    <w:rsid w:val="70048C80"/>
    <w:rsid w:val="70AB6857"/>
    <w:rsid w:val="74C4AF75"/>
    <w:rsid w:val="75725A57"/>
    <w:rsid w:val="7A404AB7"/>
    <w:rsid w:val="7AB7D094"/>
    <w:rsid w:val="7D7DE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22EE7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7CEF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2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ListParagraph">
    <w:name w:val="List Paragraph"/>
    <w:basedOn w:val="Normal"/>
    <w:uiPriority w:val="34"/>
    <w:qFormat/>
    <w:rsid w:val="00E06678"/>
    <w:pPr>
      <w:ind w:left="720"/>
      <w:contextualSpacing/>
    </w:pPr>
    <w:rPr>
      <w:lang w:val="en-GB"/>
    </w:rPr>
  </w:style>
  <w:style w:type="paragraph" w:customStyle="1" w:styleId="stylA">
    <w:name w:val="stylA"/>
    <w:basedOn w:val="Normal"/>
    <w:link w:val="stylAChar"/>
    <w:qFormat/>
    <w:rsid w:val="006B50FB"/>
    <w:pPr>
      <w:tabs>
        <w:tab w:val="clear" w:pos="567"/>
      </w:tabs>
      <w:spacing w:line="240" w:lineRule="auto"/>
      <w:jc w:val="center"/>
    </w:pPr>
    <w:rPr>
      <w:b/>
      <w:szCs w:val="22"/>
    </w:rPr>
  </w:style>
  <w:style w:type="character" w:customStyle="1" w:styleId="stylAChar">
    <w:name w:val="stylA Char"/>
    <w:basedOn w:val="DefaultParagraphFont"/>
    <w:link w:val="stylA"/>
    <w:rsid w:val="006B50FB"/>
    <w:rPr>
      <w:b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916FB"/>
  </w:style>
  <w:style w:type="paragraph" w:styleId="BodyTextFirstIndent">
    <w:name w:val="Body Text First Indent"/>
    <w:basedOn w:val="BodyText"/>
    <w:link w:val="BodyTextFirstIndentChar"/>
    <w:rsid w:val="001916FB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BodyTextChar">
    <w:name w:val="Body Text Char"/>
    <w:basedOn w:val="DefaultParagraphFont"/>
    <w:link w:val="BodyText"/>
    <w:rsid w:val="001916FB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1916FB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1916FB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rsid w:val="001916FB"/>
    <w:rPr>
      <w:b/>
      <w:sz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916FB"/>
    <w:rPr>
      <w:b w:val="0"/>
      <w:sz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916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1916F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1916FB"/>
    <w:rPr>
      <w:sz w:val="22"/>
      <w:lang w:eastAsia="en-US"/>
    </w:rPr>
  </w:style>
  <w:style w:type="paragraph" w:styleId="Date">
    <w:name w:val="Date"/>
    <w:basedOn w:val="Normal"/>
    <w:next w:val="Normal"/>
    <w:link w:val="DateChar"/>
    <w:rsid w:val="001916FB"/>
  </w:style>
  <w:style w:type="character" w:customStyle="1" w:styleId="DateChar">
    <w:name w:val="Date Char"/>
    <w:basedOn w:val="DefaultParagraphFont"/>
    <w:link w:val="Date"/>
    <w:rsid w:val="001916FB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1916F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16FB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1916F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1916FB"/>
    <w:rPr>
      <w:sz w:val="22"/>
      <w:lang w:eastAsia="en-US"/>
    </w:rPr>
  </w:style>
  <w:style w:type="paragraph" w:styleId="EnvelopeAddress">
    <w:name w:val="envelope address"/>
    <w:basedOn w:val="Normal"/>
    <w:rsid w:val="001916F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1916F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1916F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16FB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1916F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916FB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rsid w:val="001916FB"/>
    <w:pPr>
      <w:tabs>
        <w:tab w:val="clear" w:pos="567"/>
      </w:tabs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1916FB"/>
    <w:pPr>
      <w:tabs>
        <w:tab w:val="clear" w:pos="567"/>
      </w:tabs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1916FB"/>
    <w:pPr>
      <w:tabs>
        <w:tab w:val="clear" w:pos="567"/>
      </w:tabs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1916FB"/>
    <w:pPr>
      <w:tabs>
        <w:tab w:val="clear" w:pos="567"/>
      </w:tabs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1916FB"/>
    <w:pPr>
      <w:tabs>
        <w:tab w:val="clear" w:pos="567"/>
      </w:tabs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1916FB"/>
    <w:pPr>
      <w:tabs>
        <w:tab w:val="clear" w:pos="567"/>
      </w:tabs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1916FB"/>
    <w:pPr>
      <w:tabs>
        <w:tab w:val="clear" w:pos="567"/>
      </w:tabs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1916FB"/>
    <w:pPr>
      <w:tabs>
        <w:tab w:val="clear" w:pos="567"/>
      </w:tabs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1916FB"/>
    <w:pPr>
      <w:tabs>
        <w:tab w:val="clear" w:pos="567"/>
      </w:tabs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rsid w:val="001916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6F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6FB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rsid w:val="001916FB"/>
    <w:pPr>
      <w:ind w:left="360" w:hanging="360"/>
      <w:contextualSpacing/>
    </w:pPr>
  </w:style>
  <w:style w:type="paragraph" w:styleId="List2">
    <w:name w:val="List 2"/>
    <w:basedOn w:val="Normal"/>
    <w:rsid w:val="001916FB"/>
    <w:pPr>
      <w:ind w:left="720" w:hanging="360"/>
      <w:contextualSpacing/>
    </w:pPr>
  </w:style>
  <w:style w:type="paragraph" w:styleId="List3">
    <w:name w:val="List 3"/>
    <w:basedOn w:val="Normal"/>
    <w:rsid w:val="001916FB"/>
    <w:pPr>
      <w:ind w:left="1080" w:hanging="360"/>
      <w:contextualSpacing/>
    </w:pPr>
  </w:style>
  <w:style w:type="paragraph" w:styleId="List4">
    <w:name w:val="List 4"/>
    <w:basedOn w:val="Normal"/>
    <w:rsid w:val="001916FB"/>
    <w:pPr>
      <w:ind w:left="1440" w:hanging="360"/>
      <w:contextualSpacing/>
    </w:pPr>
  </w:style>
  <w:style w:type="paragraph" w:styleId="List5">
    <w:name w:val="List 5"/>
    <w:basedOn w:val="Normal"/>
    <w:rsid w:val="001916FB"/>
    <w:pPr>
      <w:ind w:left="1800" w:hanging="360"/>
      <w:contextualSpacing/>
    </w:pPr>
  </w:style>
  <w:style w:type="paragraph" w:styleId="ListBullet">
    <w:name w:val="List Bullet"/>
    <w:basedOn w:val="Normal"/>
    <w:rsid w:val="001916FB"/>
    <w:pPr>
      <w:numPr>
        <w:numId w:val="5"/>
      </w:numPr>
      <w:contextualSpacing/>
    </w:pPr>
  </w:style>
  <w:style w:type="paragraph" w:styleId="ListBullet2">
    <w:name w:val="List Bullet 2"/>
    <w:basedOn w:val="Normal"/>
    <w:rsid w:val="001916FB"/>
    <w:pPr>
      <w:numPr>
        <w:numId w:val="6"/>
      </w:numPr>
      <w:contextualSpacing/>
    </w:pPr>
  </w:style>
  <w:style w:type="paragraph" w:styleId="ListBullet3">
    <w:name w:val="List Bullet 3"/>
    <w:basedOn w:val="Normal"/>
    <w:rsid w:val="001916FB"/>
    <w:pPr>
      <w:numPr>
        <w:numId w:val="7"/>
      </w:numPr>
      <w:contextualSpacing/>
    </w:pPr>
  </w:style>
  <w:style w:type="paragraph" w:styleId="ListBullet4">
    <w:name w:val="List Bullet 4"/>
    <w:basedOn w:val="Normal"/>
    <w:rsid w:val="001916FB"/>
    <w:pPr>
      <w:numPr>
        <w:numId w:val="8"/>
      </w:numPr>
      <w:contextualSpacing/>
    </w:pPr>
  </w:style>
  <w:style w:type="paragraph" w:styleId="ListBullet5">
    <w:name w:val="List Bullet 5"/>
    <w:basedOn w:val="Normal"/>
    <w:rsid w:val="001916FB"/>
    <w:pPr>
      <w:numPr>
        <w:numId w:val="9"/>
      </w:numPr>
      <w:contextualSpacing/>
    </w:pPr>
  </w:style>
  <w:style w:type="paragraph" w:styleId="ListContinue">
    <w:name w:val="List Continue"/>
    <w:basedOn w:val="Normal"/>
    <w:rsid w:val="001916F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1916F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1916F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1916F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1916FB"/>
    <w:pPr>
      <w:spacing w:after="120"/>
      <w:ind w:left="1800"/>
      <w:contextualSpacing/>
    </w:pPr>
  </w:style>
  <w:style w:type="paragraph" w:styleId="ListNumber">
    <w:name w:val="List Number"/>
    <w:basedOn w:val="Normal"/>
    <w:rsid w:val="001916FB"/>
    <w:pPr>
      <w:numPr>
        <w:numId w:val="10"/>
      </w:numPr>
      <w:contextualSpacing/>
    </w:pPr>
  </w:style>
  <w:style w:type="paragraph" w:styleId="ListNumber2">
    <w:name w:val="List Number 2"/>
    <w:basedOn w:val="Normal"/>
    <w:rsid w:val="001916FB"/>
    <w:pPr>
      <w:numPr>
        <w:numId w:val="11"/>
      </w:numPr>
      <w:contextualSpacing/>
    </w:pPr>
  </w:style>
  <w:style w:type="paragraph" w:styleId="ListNumber3">
    <w:name w:val="List Number 3"/>
    <w:basedOn w:val="Normal"/>
    <w:rsid w:val="001916FB"/>
    <w:pPr>
      <w:numPr>
        <w:numId w:val="12"/>
      </w:numPr>
      <w:contextualSpacing/>
    </w:pPr>
  </w:style>
  <w:style w:type="paragraph" w:styleId="ListNumber4">
    <w:name w:val="List Number 4"/>
    <w:basedOn w:val="Normal"/>
    <w:rsid w:val="001916FB"/>
    <w:pPr>
      <w:numPr>
        <w:numId w:val="13"/>
      </w:numPr>
      <w:contextualSpacing/>
    </w:pPr>
  </w:style>
  <w:style w:type="paragraph" w:styleId="ListNumber5">
    <w:name w:val="List Number 5"/>
    <w:basedOn w:val="Normal"/>
    <w:rsid w:val="001916FB"/>
    <w:pPr>
      <w:numPr>
        <w:numId w:val="14"/>
      </w:numPr>
      <w:contextualSpacing/>
    </w:pPr>
  </w:style>
  <w:style w:type="paragraph" w:styleId="MacroText">
    <w:name w:val="macro"/>
    <w:link w:val="MacroTextChar"/>
    <w:rsid w:val="001916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1916FB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1916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916F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1916FB"/>
    <w:pPr>
      <w:tabs>
        <w:tab w:val="left" w:pos="567"/>
      </w:tabs>
    </w:pPr>
    <w:rPr>
      <w:sz w:val="22"/>
      <w:lang w:eastAsia="en-US"/>
    </w:rPr>
  </w:style>
  <w:style w:type="paragraph" w:styleId="NormalWeb">
    <w:name w:val="Normal (Web)"/>
    <w:basedOn w:val="Normal"/>
    <w:rsid w:val="001916FB"/>
    <w:rPr>
      <w:sz w:val="24"/>
      <w:szCs w:val="24"/>
    </w:rPr>
  </w:style>
  <w:style w:type="paragraph" w:styleId="NormalIndent">
    <w:name w:val="Normal Indent"/>
    <w:basedOn w:val="Normal"/>
    <w:rsid w:val="001916FB"/>
    <w:pPr>
      <w:ind w:left="708"/>
    </w:pPr>
  </w:style>
  <w:style w:type="paragraph" w:styleId="NoteHeading">
    <w:name w:val="Note Heading"/>
    <w:basedOn w:val="Normal"/>
    <w:next w:val="Normal"/>
    <w:link w:val="NoteHeadingChar"/>
    <w:rsid w:val="001916F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1916FB"/>
    <w:rPr>
      <w:sz w:val="22"/>
      <w:lang w:eastAsia="en-US"/>
    </w:rPr>
  </w:style>
  <w:style w:type="paragraph" w:styleId="PlainText">
    <w:name w:val="Plain Text"/>
    <w:basedOn w:val="Normal"/>
    <w:link w:val="PlainTextChar"/>
    <w:rsid w:val="001916F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916FB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916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6FB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1916FB"/>
  </w:style>
  <w:style w:type="character" w:customStyle="1" w:styleId="SalutationChar">
    <w:name w:val="Salutation Char"/>
    <w:basedOn w:val="DefaultParagraphFont"/>
    <w:link w:val="Salutation"/>
    <w:rsid w:val="001916FB"/>
    <w:rPr>
      <w:sz w:val="22"/>
      <w:lang w:eastAsia="en-US"/>
    </w:rPr>
  </w:style>
  <w:style w:type="paragraph" w:styleId="Signature">
    <w:name w:val="Signature"/>
    <w:basedOn w:val="Normal"/>
    <w:link w:val="SignatureChar"/>
    <w:rsid w:val="001916F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1916FB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1916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1916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1916FB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rsid w:val="001916FB"/>
    <w:p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qFormat/>
    <w:rsid w:val="001916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916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1916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1916FB"/>
    <w:pPr>
      <w:tabs>
        <w:tab w:val="clear" w:pos="567"/>
      </w:tabs>
      <w:spacing w:after="100"/>
    </w:pPr>
  </w:style>
  <w:style w:type="paragraph" w:styleId="TOC2">
    <w:name w:val="toc 2"/>
    <w:basedOn w:val="Normal"/>
    <w:next w:val="Normal"/>
    <w:autoRedefine/>
    <w:rsid w:val="001916FB"/>
    <w:pPr>
      <w:tabs>
        <w:tab w:val="clear" w:pos="567"/>
      </w:tabs>
      <w:spacing w:after="100"/>
      <w:ind w:left="220"/>
    </w:pPr>
  </w:style>
  <w:style w:type="paragraph" w:styleId="TOC3">
    <w:name w:val="toc 3"/>
    <w:basedOn w:val="Normal"/>
    <w:next w:val="Normal"/>
    <w:autoRedefine/>
    <w:rsid w:val="001916FB"/>
    <w:pPr>
      <w:tabs>
        <w:tab w:val="clear" w:pos="567"/>
      </w:tabs>
      <w:spacing w:after="100"/>
      <w:ind w:left="440"/>
    </w:pPr>
  </w:style>
  <w:style w:type="paragraph" w:styleId="TOC4">
    <w:name w:val="toc 4"/>
    <w:basedOn w:val="Normal"/>
    <w:next w:val="Normal"/>
    <w:autoRedefine/>
    <w:rsid w:val="001916FB"/>
    <w:pPr>
      <w:tabs>
        <w:tab w:val="clear" w:pos="567"/>
      </w:tabs>
      <w:spacing w:after="100"/>
      <w:ind w:left="660"/>
    </w:pPr>
  </w:style>
  <w:style w:type="paragraph" w:styleId="TOC5">
    <w:name w:val="toc 5"/>
    <w:basedOn w:val="Normal"/>
    <w:next w:val="Normal"/>
    <w:autoRedefine/>
    <w:rsid w:val="001916FB"/>
    <w:pPr>
      <w:tabs>
        <w:tab w:val="clear" w:pos="567"/>
      </w:tabs>
      <w:spacing w:after="100"/>
      <w:ind w:left="880"/>
    </w:pPr>
  </w:style>
  <w:style w:type="paragraph" w:styleId="TOC6">
    <w:name w:val="toc 6"/>
    <w:basedOn w:val="Normal"/>
    <w:next w:val="Normal"/>
    <w:autoRedefine/>
    <w:rsid w:val="001916FB"/>
    <w:pPr>
      <w:tabs>
        <w:tab w:val="clear" w:pos="567"/>
      </w:tabs>
      <w:spacing w:after="100"/>
      <w:ind w:left="1100"/>
    </w:pPr>
  </w:style>
  <w:style w:type="paragraph" w:styleId="TOC7">
    <w:name w:val="toc 7"/>
    <w:basedOn w:val="Normal"/>
    <w:next w:val="Normal"/>
    <w:autoRedefine/>
    <w:rsid w:val="001916FB"/>
    <w:pPr>
      <w:tabs>
        <w:tab w:val="clear" w:pos="567"/>
      </w:tabs>
      <w:spacing w:after="100"/>
      <w:ind w:left="1320"/>
    </w:pPr>
  </w:style>
  <w:style w:type="paragraph" w:styleId="TOC8">
    <w:name w:val="toc 8"/>
    <w:basedOn w:val="Normal"/>
    <w:next w:val="Normal"/>
    <w:autoRedefine/>
    <w:rsid w:val="001916FB"/>
    <w:pPr>
      <w:tabs>
        <w:tab w:val="clear" w:pos="567"/>
      </w:tabs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16FB"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6AF2C52FBD654CB29725A1976C431B" ma:contentTypeVersion="6" ma:contentTypeDescription="Utwórz nowy dokument." ma:contentTypeScope="" ma:versionID="7d570562ac70a2cf515472a5a645c070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35e7fb22b3d73a57c7a60a8b4ce26f64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D2DD2-DE97-41D4-BB2D-8F92EA524E29}"/>
</file>

<file path=customXml/itemProps2.xml><?xml version="1.0" encoding="utf-8"?>
<ds:datastoreItem xmlns:ds="http://schemas.openxmlformats.org/officeDocument/2006/customXml" ds:itemID="{3D4AFA2F-4F92-4229-B0C8-D910D5CD2711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3.xml><?xml version="1.0" encoding="utf-8"?>
<ds:datastoreItem xmlns:ds="http://schemas.openxmlformats.org/officeDocument/2006/customXml" ds:itemID="{27CBB43A-16E5-40FF-B208-61102C40B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9ACA96-E67F-46FC-97E2-E7A97A33ED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2201</Words>
  <Characters>13210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Vqrdtemplateclean_pl</vt:lpstr>
      <vt:lpstr>Vqrdtemplateclean_pl</vt:lpstr>
    </vt:vector>
  </TitlesOfParts>
  <Company>CDT</Company>
  <LinksUpToDate>false</LinksUpToDate>
  <CharactersWithSpaces>15381</CharactersWithSpaces>
  <SharedDoc>false</SharedDoc>
  <HLinks>
    <vt:vector size="12" baseType="variant"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ANNA JASINSKA</cp:lastModifiedBy>
  <cp:revision>8</cp:revision>
  <cp:lastPrinted>2022-11-03T08:22:00Z</cp:lastPrinted>
  <dcterms:created xsi:type="dcterms:W3CDTF">2025-02-21T20:02:00Z</dcterms:created>
  <dcterms:modified xsi:type="dcterms:W3CDTF">2025-04-15T13:09:00Z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0x010100236AF2C52FBD654CB29725A1976C431B</vt:lpwstr>
  </property>
  <property fmtid="{D5CDD505-2E9C-101B-9397-08002B2CF9AE}" pid="75" name="MediaServiceImageTags">
    <vt:lpwstr/>
  </property>
</Properties>
</file>