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324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4DD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CDD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F5D0F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EAF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8599A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432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E1C2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E784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D20A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A63B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10A0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6A63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D29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AD20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910F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BCDB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E8E2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BFAD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4919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31FE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F6F0B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7DCDFD" w14:textId="77777777" w:rsidR="00C114FF" w:rsidRPr="00BE15AB" w:rsidRDefault="00D21DE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465422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1D135" w14:textId="77777777" w:rsidR="00C114FF" w:rsidRPr="00BE15AB" w:rsidRDefault="00D21DE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54B39254" w14:textId="1AF191B6" w:rsidR="00DF6526" w:rsidRPr="007E336F" w:rsidRDefault="00D21DEA" w:rsidP="00DF6526">
      <w:pPr>
        <w:pStyle w:val="Style1"/>
        <w:rPr>
          <w:b w:val="0"/>
          <w:bCs/>
        </w:rPr>
      </w:pPr>
      <w:r w:rsidRPr="00BE15AB">
        <w:br w:type="page"/>
      </w:r>
    </w:p>
    <w:p w14:paraId="7FDA8E46" w14:textId="6469B768" w:rsidR="00C03C50" w:rsidRPr="007E336F" w:rsidRDefault="00C03C50" w:rsidP="007E336F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7E336F">
        <w:rPr>
          <w:b/>
          <w:bCs/>
        </w:rPr>
        <w:lastRenderedPageBreak/>
        <w:t>1.</w:t>
      </w:r>
      <w:r w:rsidRPr="007E336F">
        <w:rPr>
          <w:b/>
          <w:bCs/>
        </w:rPr>
        <w:tab/>
        <w:t>NAZWA WETERYNARYJNEGO PRODUKTU LECZNICZEGO</w:t>
      </w:r>
    </w:p>
    <w:p w14:paraId="7E9103AB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4ACBC168" w14:textId="002F6355" w:rsidR="0035704B" w:rsidRDefault="0035704B" w:rsidP="0035704B">
      <w:pPr>
        <w:pStyle w:val="EndnoteText"/>
        <w:spacing w:line="240" w:lineRule="atLeast"/>
        <w:jc w:val="both"/>
        <w:outlineLvl w:val="0"/>
        <w:rPr>
          <w:snapToGrid w:val="0"/>
        </w:rPr>
      </w:pPr>
      <w:r>
        <w:rPr>
          <w:snapToGrid w:val="0"/>
        </w:rPr>
        <w:t>Advocate 40 mg + 10 mg roztwór do nakrapiania dla małych psów</w:t>
      </w:r>
      <w:r w:rsidR="00506F99">
        <w:rPr>
          <w:snapToGrid w:val="0"/>
        </w:rPr>
        <w:t xml:space="preserve"> </w:t>
      </w:r>
      <w:r w:rsidR="00506F99" w:rsidRPr="000A473A">
        <w:rPr>
          <w:snapToGrid w:val="0"/>
          <w:szCs w:val="22"/>
        </w:rPr>
        <w:t>(</w:t>
      </w:r>
      <w:r w:rsidR="00506F99" w:rsidRPr="000A473A">
        <w:rPr>
          <w:rFonts w:ascii="Symbol" w:eastAsia="Symbol" w:hAnsi="Symbol" w:cs="Symbol"/>
          <w:snapToGrid w:val="0"/>
          <w:szCs w:val="22"/>
        </w:rPr>
        <w:t>£</w:t>
      </w:r>
      <w:r w:rsidR="00506F99" w:rsidRPr="000A473A">
        <w:rPr>
          <w:snapToGrid w:val="0"/>
          <w:szCs w:val="22"/>
        </w:rPr>
        <w:t xml:space="preserve"> 4 kg)</w:t>
      </w:r>
    </w:p>
    <w:p w14:paraId="05C7929E" w14:textId="76D157CE" w:rsidR="0035704B" w:rsidRPr="00506F99" w:rsidRDefault="0035704B" w:rsidP="0035704B">
      <w:pPr>
        <w:pStyle w:val="StandardohneAbstand"/>
        <w:tabs>
          <w:tab w:val="clear" w:pos="720"/>
        </w:tabs>
        <w:spacing w:line="240" w:lineRule="atLeast"/>
        <w:jc w:val="both"/>
        <w:rPr>
          <w:rFonts w:ascii="Times New Roman" w:hAnsi="Times New Roman"/>
          <w:snapToGrid w:val="0"/>
          <w:lang w:val="pl-PL"/>
        </w:rPr>
      </w:pPr>
      <w:r>
        <w:rPr>
          <w:rFonts w:ascii="Times New Roman" w:hAnsi="Times New Roman"/>
          <w:snapToGrid w:val="0"/>
          <w:lang w:val="pl-PL"/>
        </w:rPr>
        <w:t>Advocate 100 mg + 25 mg roztwór do nakrapiania dla średnich psów</w:t>
      </w:r>
      <w:r w:rsidR="00506F99">
        <w:rPr>
          <w:rFonts w:ascii="Times New Roman" w:hAnsi="Times New Roman"/>
          <w:snapToGrid w:val="0"/>
          <w:lang w:val="pl-PL"/>
        </w:rPr>
        <w:t xml:space="preserve"> </w:t>
      </w:r>
      <w:r w:rsidR="00506F99" w:rsidRPr="006A70E0">
        <w:rPr>
          <w:rFonts w:ascii="Times New Roman" w:hAnsi="Times New Roman"/>
          <w:snapToGrid w:val="0"/>
          <w:szCs w:val="22"/>
          <w:lang w:val="pl-PL"/>
        </w:rPr>
        <w:t>(&gt; 4–10 kg)</w:t>
      </w:r>
    </w:p>
    <w:p w14:paraId="54507716" w14:textId="3B230C4B" w:rsidR="0035704B" w:rsidRDefault="0035704B" w:rsidP="0035704B">
      <w:pPr>
        <w:spacing w:line="240" w:lineRule="atLeast"/>
        <w:jc w:val="both"/>
        <w:rPr>
          <w:snapToGrid w:val="0"/>
        </w:rPr>
      </w:pPr>
      <w:r>
        <w:rPr>
          <w:snapToGrid w:val="0"/>
        </w:rPr>
        <w:t>Advocate 250 mg + 62,5 mg roztwór do nakrapiania dla dużych psów</w:t>
      </w:r>
      <w:r w:rsidR="00506F99">
        <w:rPr>
          <w:snapToGrid w:val="0"/>
        </w:rPr>
        <w:t xml:space="preserve"> </w:t>
      </w:r>
      <w:r w:rsidR="00506F99" w:rsidRPr="000A473A">
        <w:rPr>
          <w:snapToGrid w:val="0"/>
          <w:szCs w:val="22"/>
        </w:rPr>
        <w:t>(&gt; 10–25 kg)</w:t>
      </w:r>
    </w:p>
    <w:p w14:paraId="2DF56FF8" w14:textId="154BB45C" w:rsidR="0035704B" w:rsidRDefault="0035704B" w:rsidP="0035704B">
      <w:pPr>
        <w:spacing w:line="240" w:lineRule="atLeast"/>
        <w:jc w:val="both"/>
        <w:rPr>
          <w:snapToGrid w:val="0"/>
        </w:rPr>
      </w:pPr>
      <w:r>
        <w:rPr>
          <w:snapToGrid w:val="0"/>
        </w:rPr>
        <w:t>Advocate 400 mg + 100 mg roztwór do nakrapiania dla bardzo dużych psów</w:t>
      </w:r>
      <w:r w:rsidR="00506F99">
        <w:rPr>
          <w:snapToGrid w:val="0"/>
        </w:rPr>
        <w:t xml:space="preserve"> </w:t>
      </w:r>
      <w:r w:rsidR="00506F99" w:rsidRPr="000A473A">
        <w:rPr>
          <w:snapToGrid w:val="0"/>
          <w:szCs w:val="22"/>
        </w:rPr>
        <w:t>(&gt; 25–40 kg)</w:t>
      </w:r>
    </w:p>
    <w:p w14:paraId="6089362C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0AF0263B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9F75CA8" w14:textId="77777777" w:rsidR="00C03C50" w:rsidRPr="00BE15AB" w:rsidRDefault="00C03C50" w:rsidP="00C03C50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43D25DB3" w14:textId="77777777" w:rsidR="0035704B" w:rsidRDefault="0035704B" w:rsidP="0035704B">
      <w:pPr>
        <w:jc w:val="both"/>
      </w:pPr>
    </w:p>
    <w:p w14:paraId="78616634" w14:textId="77777777" w:rsidR="0035704B" w:rsidRDefault="0035704B" w:rsidP="0035704B">
      <w:pPr>
        <w:pStyle w:val="StandardohneAbstand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Każda dawka (pipetka) zawiera:</w:t>
      </w:r>
    </w:p>
    <w:p w14:paraId="4B9AD259" w14:textId="77777777" w:rsidR="0035704B" w:rsidRDefault="0035704B" w:rsidP="0035704B">
      <w:pPr>
        <w:pStyle w:val="StandardohneAbstand"/>
        <w:jc w:val="both"/>
        <w:rPr>
          <w:rFonts w:ascii="Times New Roman" w:hAnsi="Times New Roman"/>
          <w:lang w:val="pl-PL"/>
        </w:rPr>
      </w:pPr>
    </w:p>
    <w:p w14:paraId="7F2ED5E5" w14:textId="14C8ED5B" w:rsidR="006D2AFB" w:rsidRPr="00BE15AB" w:rsidRDefault="006D2AFB" w:rsidP="006D2AF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Substancje czynne:</w:t>
      </w:r>
    </w:p>
    <w:p w14:paraId="474609BA" w14:textId="77777777" w:rsidR="006D2AFB" w:rsidRDefault="006D2AFB" w:rsidP="0035704B">
      <w:pPr>
        <w:pStyle w:val="StandardohneAbstand"/>
        <w:jc w:val="both"/>
        <w:rPr>
          <w:rFonts w:ascii="Times New Roman" w:hAnsi="Times New Roman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00"/>
        <w:gridCol w:w="1535"/>
        <w:gridCol w:w="1710"/>
      </w:tblGrid>
      <w:tr w:rsidR="0035704B" w14:paraId="4C21E203" w14:textId="77777777" w:rsidTr="006A70E0">
        <w:tc>
          <w:tcPr>
            <w:tcW w:w="4500" w:type="dxa"/>
          </w:tcPr>
          <w:p w14:paraId="0D848B1C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900" w:type="dxa"/>
          </w:tcPr>
          <w:p w14:paraId="30D95E6E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Dawka</w:t>
            </w:r>
          </w:p>
        </w:tc>
        <w:tc>
          <w:tcPr>
            <w:tcW w:w="1535" w:type="dxa"/>
          </w:tcPr>
          <w:p w14:paraId="2D059F7C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Imidaklopr</w:t>
            </w:r>
            <w:r w:rsidR="007D5DD2">
              <w:rPr>
                <w:rFonts w:ascii="Times New Roman" w:hAnsi="Times New Roman"/>
                <w:b/>
                <w:lang w:val="pl-PL"/>
              </w:rPr>
              <w:t>y</w:t>
            </w:r>
            <w:r>
              <w:rPr>
                <w:rFonts w:ascii="Times New Roman" w:hAnsi="Times New Roman"/>
                <w:b/>
                <w:lang w:val="pl-PL"/>
              </w:rPr>
              <w:t>d</w:t>
            </w:r>
          </w:p>
          <w:p w14:paraId="1E0870B7" w14:textId="6D4C0F8B" w:rsidR="00E35ADD" w:rsidRDefault="00E35ADD" w:rsidP="006D2AFB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(</w:t>
            </w:r>
            <w:r w:rsidR="008C7238">
              <w:rPr>
                <w:rFonts w:ascii="Times New Roman" w:hAnsi="Times New Roman"/>
                <w:b/>
                <w:lang w:val="pl-PL"/>
              </w:rPr>
              <w:t>i</w:t>
            </w:r>
            <w:r w:rsidRPr="00E35ADD">
              <w:rPr>
                <w:rFonts w:ascii="Times New Roman" w:hAnsi="Times New Roman"/>
                <w:b/>
                <w:lang w:val="pl-PL"/>
              </w:rPr>
              <w:t>midacloprid</w:t>
            </w:r>
            <w:r>
              <w:rPr>
                <w:rFonts w:ascii="Times New Roman" w:hAnsi="Times New Roman"/>
                <w:b/>
                <w:lang w:val="pl-PL"/>
              </w:rPr>
              <w:t>)</w:t>
            </w:r>
          </w:p>
        </w:tc>
        <w:tc>
          <w:tcPr>
            <w:tcW w:w="1710" w:type="dxa"/>
          </w:tcPr>
          <w:p w14:paraId="7A78A58C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Moksydektyna</w:t>
            </w:r>
          </w:p>
          <w:p w14:paraId="44D8CC49" w14:textId="33867BC2" w:rsidR="00A466BC" w:rsidRDefault="00A466BC" w:rsidP="006D2AFB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50189">
              <w:rPr>
                <w:rFonts w:ascii="Times New Roman" w:hAnsi="Times New Roman"/>
                <w:b/>
                <w:bCs/>
                <w:lang w:val="lv-LV"/>
              </w:rPr>
              <w:t>(</w:t>
            </w:r>
            <w:r w:rsidR="008C7238">
              <w:rPr>
                <w:rFonts w:ascii="Times New Roman" w:hAnsi="Times New Roman"/>
                <w:b/>
                <w:bCs/>
                <w:lang w:val="lv-LV"/>
              </w:rPr>
              <w:t>m</w:t>
            </w:r>
            <w:r w:rsidRPr="00250189">
              <w:rPr>
                <w:rFonts w:ascii="Times New Roman" w:hAnsi="Times New Roman"/>
                <w:b/>
                <w:bCs/>
                <w:lang w:val="lv-LV"/>
              </w:rPr>
              <w:t>oxidectin)</w:t>
            </w:r>
          </w:p>
        </w:tc>
      </w:tr>
      <w:tr w:rsidR="0035704B" w14:paraId="45469F9A" w14:textId="77777777" w:rsidTr="006A70E0">
        <w:tc>
          <w:tcPr>
            <w:tcW w:w="4500" w:type="dxa"/>
          </w:tcPr>
          <w:p w14:paraId="4AE87098" w14:textId="77777777" w:rsidR="0035704B" w:rsidRDefault="0035704B" w:rsidP="006220E1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napToGrid w:val="0"/>
                <w:lang w:val="pl-PL"/>
              </w:rPr>
              <w:t>Advocate dla małych psów (</w:t>
            </w:r>
            <w:r>
              <w:rPr>
                <w:rFonts w:ascii="Times New Roman" w:hAnsi="Times New Roman"/>
                <w:snapToGrid w:val="0"/>
                <w:lang w:val="pl-PL"/>
              </w:rPr>
              <w:sym w:font="Symbol" w:char="F0A3"/>
            </w:r>
            <w:r>
              <w:rPr>
                <w:rFonts w:ascii="Times New Roman" w:hAnsi="Times New Roman"/>
                <w:snapToGrid w:val="0"/>
                <w:lang w:val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Times New Roman" w:hAnsi="Times New Roman"/>
                  <w:snapToGrid w:val="0"/>
                  <w:lang w:val="pl-PL"/>
                </w:rPr>
                <w:t>4 kg</w:t>
              </w:r>
            </w:smartTag>
            <w:r>
              <w:rPr>
                <w:rFonts w:ascii="Times New Roman" w:hAnsi="Times New Roman"/>
                <w:snapToGrid w:val="0"/>
                <w:lang w:val="pl-PL"/>
              </w:rPr>
              <w:t>)</w:t>
            </w:r>
          </w:p>
        </w:tc>
        <w:tc>
          <w:tcPr>
            <w:tcW w:w="900" w:type="dxa"/>
          </w:tcPr>
          <w:p w14:paraId="52345973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0,4 ml</w:t>
            </w:r>
          </w:p>
        </w:tc>
        <w:tc>
          <w:tcPr>
            <w:tcW w:w="1535" w:type="dxa"/>
          </w:tcPr>
          <w:p w14:paraId="3D586FA3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40 mg</w:t>
            </w:r>
          </w:p>
        </w:tc>
        <w:tc>
          <w:tcPr>
            <w:tcW w:w="1710" w:type="dxa"/>
          </w:tcPr>
          <w:p w14:paraId="04BF9869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 mg</w:t>
            </w:r>
          </w:p>
        </w:tc>
      </w:tr>
      <w:tr w:rsidR="0035704B" w14:paraId="6D34D015" w14:textId="77777777" w:rsidTr="006A70E0">
        <w:tc>
          <w:tcPr>
            <w:tcW w:w="4500" w:type="dxa"/>
          </w:tcPr>
          <w:p w14:paraId="4165BE46" w14:textId="77777777" w:rsidR="0035704B" w:rsidRDefault="0035704B" w:rsidP="006220E1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napToGrid w:val="0"/>
                <w:lang w:val="pl-PL"/>
              </w:rPr>
              <w:t>Advocate dla średnich psów (&gt; 4-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Times New Roman" w:hAnsi="Times New Roman"/>
                  <w:snapToGrid w:val="0"/>
                  <w:lang w:val="pl-PL"/>
                </w:rPr>
                <w:t>10 kg</w:t>
              </w:r>
            </w:smartTag>
            <w:r>
              <w:rPr>
                <w:rFonts w:ascii="Times New Roman" w:hAnsi="Times New Roman"/>
                <w:snapToGrid w:val="0"/>
                <w:lang w:val="pl-PL"/>
              </w:rPr>
              <w:t>)</w:t>
            </w:r>
          </w:p>
        </w:tc>
        <w:tc>
          <w:tcPr>
            <w:tcW w:w="900" w:type="dxa"/>
          </w:tcPr>
          <w:p w14:paraId="77414969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1,0 ml</w:t>
            </w:r>
          </w:p>
        </w:tc>
        <w:tc>
          <w:tcPr>
            <w:tcW w:w="1535" w:type="dxa"/>
          </w:tcPr>
          <w:p w14:paraId="1EAA3403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100 mg</w:t>
            </w:r>
          </w:p>
        </w:tc>
        <w:tc>
          <w:tcPr>
            <w:tcW w:w="1710" w:type="dxa"/>
          </w:tcPr>
          <w:p w14:paraId="029A1C1A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 mg</w:t>
            </w:r>
          </w:p>
        </w:tc>
      </w:tr>
      <w:tr w:rsidR="0035704B" w14:paraId="1444B2E0" w14:textId="77777777" w:rsidTr="006A70E0">
        <w:trPr>
          <w:trHeight w:val="50"/>
        </w:trPr>
        <w:tc>
          <w:tcPr>
            <w:tcW w:w="4500" w:type="dxa"/>
          </w:tcPr>
          <w:p w14:paraId="1E1FB024" w14:textId="77777777" w:rsidR="0035704B" w:rsidRDefault="0035704B" w:rsidP="006220E1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napToGrid w:val="0"/>
                <w:lang w:val="pl-PL"/>
              </w:rPr>
              <w:t>Advocate dla dużych psów (&gt; 10-</w:t>
            </w:r>
            <w:smartTag w:uri="urn:schemas-microsoft-com:office:smarttags" w:element="metricconverter">
              <w:smartTagPr>
                <w:attr w:name="ProductID" w:val="25 kg"/>
              </w:smartTagPr>
              <w:r>
                <w:rPr>
                  <w:rFonts w:ascii="Times New Roman" w:hAnsi="Times New Roman"/>
                  <w:snapToGrid w:val="0"/>
                  <w:lang w:val="pl-PL"/>
                </w:rPr>
                <w:t>25 kg</w:t>
              </w:r>
            </w:smartTag>
            <w:r>
              <w:rPr>
                <w:rFonts w:ascii="Times New Roman" w:hAnsi="Times New Roman"/>
                <w:snapToGrid w:val="0"/>
                <w:lang w:val="pl-PL"/>
              </w:rPr>
              <w:t>)</w:t>
            </w:r>
          </w:p>
        </w:tc>
        <w:tc>
          <w:tcPr>
            <w:tcW w:w="900" w:type="dxa"/>
          </w:tcPr>
          <w:p w14:paraId="40B51EE2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 ml</w:t>
            </w:r>
          </w:p>
        </w:tc>
        <w:tc>
          <w:tcPr>
            <w:tcW w:w="1535" w:type="dxa"/>
          </w:tcPr>
          <w:p w14:paraId="7F6E9AB7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250 mg</w:t>
            </w:r>
          </w:p>
        </w:tc>
        <w:tc>
          <w:tcPr>
            <w:tcW w:w="1710" w:type="dxa"/>
          </w:tcPr>
          <w:p w14:paraId="51325DC8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62,5 mg</w:t>
            </w:r>
          </w:p>
        </w:tc>
      </w:tr>
      <w:tr w:rsidR="0035704B" w14:paraId="2F04B877" w14:textId="77777777" w:rsidTr="006A70E0">
        <w:tc>
          <w:tcPr>
            <w:tcW w:w="4500" w:type="dxa"/>
          </w:tcPr>
          <w:p w14:paraId="2A8F0076" w14:textId="77777777" w:rsidR="0035704B" w:rsidRDefault="0035704B" w:rsidP="006220E1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napToGrid w:val="0"/>
                <w:lang w:val="pl-PL"/>
              </w:rPr>
              <w:t>Advocate dla bardzo dużych psów (&gt; 25-</w:t>
            </w:r>
            <w:smartTag w:uri="urn:schemas-microsoft-com:office:smarttags" w:element="metricconverter">
              <w:smartTagPr>
                <w:attr w:name="ProductID" w:val="40 kg"/>
              </w:smartTagPr>
              <w:r>
                <w:rPr>
                  <w:rFonts w:ascii="Times New Roman" w:hAnsi="Times New Roman"/>
                  <w:snapToGrid w:val="0"/>
                  <w:lang w:val="pl-PL"/>
                </w:rPr>
                <w:t>40 kg</w:t>
              </w:r>
            </w:smartTag>
            <w:r>
              <w:rPr>
                <w:rFonts w:ascii="Times New Roman" w:hAnsi="Times New Roman"/>
                <w:snapToGrid w:val="0"/>
                <w:lang w:val="pl-PL"/>
              </w:rPr>
              <w:t>)</w:t>
            </w:r>
          </w:p>
        </w:tc>
        <w:tc>
          <w:tcPr>
            <w:tcW w:w="900" w:type="dxa"/>
          </w:tcPr>
          <w:p w14:paraId="4B11747A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4,0 ml</w:t>
            </w:r>
          </w:p>
        </w:tc>
        <w:tc>
          <w:tcPr>
            <w:tcW w:w="1535" w:type="dxa"/>
          </w:tcPr>
          <w:p w14:paraId="77AE3C57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400 mg</w:t>
            </w:r>
          </w:p>
        </w:tc>
        <w:tc>
          <w:tcPr>
            <w:tcW w:w="1710" w:type="dxa"/>
          </w:tcPr>
          <w:p w14:paraId="724DD581" w14:textId="77777777" w:rsidR="0035704B" w:rsidRDefault="0035704B" w:rsidP="006D2AFB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100 mg</w:t>
            </w:r>
          </w:p>
        </w:tc>
      </w:tr>
    </w:tbl>
    <w:p w14:paraId="67FB7208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4528EB9" w14:textId="715CF7F9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 xml:space="preserve">Substancje pomocnicze: </w:t>
      </w:r>
    </w:p>
    <w:p w14:paraId="5E3A25AC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C03C50" w14:paraId="6DDB4FB5" w14:textId="77777777" w:rsidTr="0035704B">
        <w:tc>
          <w:tcPr>
            <w:tcW w:w="4525" w:type="dxa"/>
            <w:shd w:val="clear" w:color="auto" w:fill="auto"/>
            <w:vAlign w:val="center"/>
          </w:tcPr>
          <w:p w14:paraId="77C428D9" w14:textId="7ACAC51F" w:rsidR="00C03C50" w:rsidRPr="00BE15AB" w:rsidRDefault="00C03C50" w:rsidP="006220E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600637" w14:textId="6111FEBC" w:rsidR="00C03C50" w:rsidRPr="00BE15AB" w:rsidRDefault="00C03C50" w:rsidP="006220E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</w:t>
            </w:r>
          </w:p>
        </w:tc>
      </w:tr>
      <w:tr w:rsidR="0035704B" w14:paraId="6176C335" w14:textId="77777777" w:rsidTr="0035704B">
        <w:tc>
          <w:tcPr>
            <w:tcW w:w="4525" w:type="dxa"/>
            <w:shd w:val="clear" w:color="auto" w:fill="auto"/>
          </w:tcPr>
          <w:p w14:paraId="118DC9E5" w14:textId="6424F45B" w:rsidR="0035704B" w:rsidRPr="00787C90" w:rsidRDefault="0035704B" w:rsidP="0035704B">
            <w:pPr>
              <w:spacing w:before="60" w:after="60"/>
              <w:ind w:left="567" w:hanging="567"/>
              <w:rPr>
                <w:iCs/>
                <w:color w:val="000000" w:themeColor="text1"/>
                <w:szCs w:val="22"/>
              </w:rPr>
            </w:pPr>
            <w:r w:rsidRPr="00787C90">
              <w:rPr>
                <w:color w:val="000000" w:themeColor="text1"/>
              </w:rPr>
              <w:t>Alkohol benzylowy</w:t>
            </w:r>
            <w:r w:rsidR="006D2AFB" w:rsidRPr="00787C90">
              <w:rPr>
                <w:color w:val="000000" w:themeColor="text1"/>
              </w:rPr>
              <w:t xml:space="preserve"> </w:t>
            </w:r>
            <w:r w:rsidR="006D2AFB" w:rsidRPr="00787C90">
              <w:rPr>
                <w:color w:val="000000" w:themeColor="text1"/>
                <w:szCs w:val="22"/>
              </w:rPr>
              <w:t>(E1519)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7027A" w14:textId="77777777" w:rsidR="0035704B" w:rsidRPr="00BE15AB" w:rsidRDefault="0035704B" w:rsidP="0035704B">
            <w:pPr>
              <w:spacing w:before="60" w:after="60"/>
              <w:rPr>
                <w:iCs/>
                <w:szCs w:val="22"/>
              </w:rPr>
            </w:pPr>
          </w:p>
        </w:tc>
      </w:tr>
      <w:tr w:rsidR="0035704B" w14:paraId="31063CE2" w14:textId="77777777" w:rsidTr="0035704B">
        <w:tc>
          <w:tcPr>
            <w:tcW w:w="4525" w:type="dxa"/>
            <w:shd w:val="clear" w:color="auto" w:fill="auto"/>
          </w:tcPr>
          <w:p w14:paraId="242BADA2" w14:textId="5F7B9833" w:rsidR="0035704B" w:rsidRPr="00787C90" w:rsidRDefault="0035704B" w:rsidP="0035704B">
            <w:pPr>
              <w:spacing w:before="60" w:after="60"/>
              <w:rPr>
                <w:iCs/>
                <w:color w:val="000000" w:themeColor="text1"/>
                <w:szCs w:val="22"/>
              </w:rPr>
            </w:pPr>
            <w:r w:rsidRPr="00787C90">
              <w:rPr>
                <w:color w:val="000000" w:themeColor="text1"/>
              </w:rPr>
              <w:t>Butylohydroksytoluen</w:t>
            </w:r>
            <w:r w:rsidR="006D2AFB" w:rsidRPr="00787C90">
              <w:rPr>
                <w:color w:val="000000" w:themeColor="text1"/>
              </w:rPr>
              <w:t xml:space="preserve"> </w:t>
            </w:r>
            <w:r w:rsidR="006D2AFB" w:rsidRPr="00787C90">
              <w:rPr>
                <w:color w:val="000000" w:themeColor="text1"/>
                <w:szCs w:val="22"/>
              </w:rPr>
              <w:t>(E321)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B0F07A" w14:textId="4ECEE9E2" w:rsidR="0035704B" w:rsidRPr="00BE15AB" w:rsidRDefault="006D2AFB" w:rsidP="00787C90">
            <w:pPr>
              <w:spacing w:before="60" w:after="60"/>
              <w:rPr>
                <w:iCs/>
                <w:szCs w:val="22"/>
              </w:rPr>
            </w:pPr>
            <w:r>
              <w:t>1 mg/ml</w:t>
            </w:r>
          </w:p>
        </w:tc>
      </w:tr>
      <w:tr w:rsidR="0035704B" w14:paraId="369EE4D1" w14:textId="77777777" w:rsidTr="0035704B">
        <w:tc>
          <w:tcPr>
            <w:tcW w:w="4525" w:type="dxa"/>
            <w:shd w:val="clear" w:color="auto" w:fill="auto"/>
          </w:tcPr>
          <w:p w14:paraId="575A654B" w14:textId="632DE944" w:rsidR="0035704B" w:rsidRPr="00BE15AB" w:rsidRDefault="0035704B" w:rsidP="0035704B">
            <w:pPr>
              <w:spacing w:before="60" w:after="60"/>
              <w:rPr>
                <w:iCs/>
                <w:szCs w:val="22"/>
              </w:rPr>
            </w:pPr>
            <w:r w:rsidRPr="000B1CDA">
              <w:t>Węglan propylenowy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ECDB1E" w14:textId="77777777" w:rsidR="0035704B" w:rsidRPr="00BE15AB" w:rsidRDefault="0035704B" w:rsidP="0035704B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2992AE9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1CAAFBE8" w14:textId="0D6E1D5F" w:rsidR="0035704B" w:rsidRDefault="0035704B" w:rsidP="0035704B">
      <w:pPr>
        <w:pStyle w:val="EndnoteText"/>
        <w:tabs>
          <w:tab w:val="clear" w:pos="567"/>
        </w:tabs>
        <w:jc w:val="both"/>
      </w:pPr>
      <w:r>
        <w:t>Przejrzysty roztwór o zabarwieniu żółto-brązowawym</w:t>
      </w:r>
      <w:r w:rsidR="007E336F">
        <w:t>.</w:t>
      </w:r>
    </w:p>
    <w:p w14:paraId="190FF82D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00DF681" w14:textId="77777777" w:rsidR="0035704B" w:rsidRPr="00BE15AB" w:rsidRDefault="0035704B" w:rsidP="00C03C50">
      <w:pPr>
        <w:tabs>
          <w:tab w:val="clear" w:pos="567"/>
        </w:tabs>
        <w:spacing w:line="240" w:lineRule="auto"/>
        <w:rPr>
          <w:szCs w:val="22"/>
        </w:rPr>
      </w:pPr>
    </w:p>
    <w:p w14:paraId="14B08D6C" w14:textId="77777777" w:rsidR="00C03C50" w:rsidRPr="00BE15AB" w:rsidRDefault="00C03C50" w:rsidP="00C03C50">
      <w:pPr>
        <w:pStyle w:val="Style1"/>
      </w:pPr>
      <w:r w:rsidRPr="00BE15AB">
        <w:t>3.</w:t>
      </w:r>
      <w:r w:rsidRPr="00BE15AB">
        <w:tab/>
        <w:t>DANE KLINICZNE</w:t>
      </w:r>
    </w:p>
    <w:p w14:paraId="542E2F1E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4484CE74" w14:textId="4C08E00E" w:rsidR="00C03C50" w:rsidRDefault="00C03C50" w:rsidP="0035704B">
      <w:pPr>
        <w:pStyle w:val="Style1"/>
      </w:pPr>
      <w:r w:rsidRPr="00BE15AB">
        <w:t>3.1</w:t>
      </w:r>
      <w:r w:rsidRPr="00BE15AB">
        <w:tab/>
        <w:t>Docelowe gatunki zwierząt</w:t>
      </w:r>
    </w:p>
    <w:p w14:paraId="2627F877" w14:textId="77777777" w:rsidR="0035704B" w:rsidRDefault="0035704B" w:rsidP="0035704B">
      <w:pPr>
        <w:tabs>
          <w:tab w:val="clear" w:pos="567"/>
          <w:tab w:val="left" w:pos="900"/>
        </w:tabs>
        <w:spacing w:line="240" w:lineRule="auto"/>
        <w:rPr>
          <w:szCs w:val="22"/>
        </w:rPr>
      </w:pPr>
    </w:p>
    <w:p w14:paraId="396B0555" w14:textId="3FE7E347" w:rsidR="0035704B" w:rsidRPr="0035704B" w:rsidRDefault="0035704B" w:rsidP="0035704B">
      <w:pPr>
        <w:pStyle w:val="EndnoteText"/>
        <w:tabs>
          <w:tab w:val="clear" w:pos="567"/>
        </w:tabs>
        <w:jc w:val="both"/>
        <w:outlineLvl w:val="0"/>
      </w:pPr>
      <w:r>
        <w:t>Ps</w:t>
      </w:r>
      <w:r w:rsidR="006D2AFB">
        <w:t>y</w:t>
      </w:r>
      <w:r w:rsidR="007E336F">
        <w:t>.</w:t>
      </w:r>
    </w:p>
    <w:p w14:paraId="11E5D5BA" w14:textId="77777777" w:rsidR="0035704B" w:rsidRPr="00BE15AB" w:rsidRDefault="0035704B" w:rsidP="0035704B">
      <w:pPr>
        <w:tabs>
          <w:tab w:val="clear" w:pos="567"/>
          <w:tab w:val="left" w:pos="900"/>
        </w:tabs>
        <w:spacing w:line="240" w:lineRule="auto"/>
        <w:rPr>
          <w:szCs w:val="22"/>
        </w:rPr>
      </w:pPr>
    </w:p>
    <w:p w14:paraId="35F11AAC" w14:textId="77777777" w:rsidR="00C03C50" w:rsidRPr="00BE15AB" w:rsidRDefault="00C03C50" w:rsidP="00C03C50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7D990CDA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3A8AD98" w14:textId="2E985C25" w:rsidR="00787C90" w:rsidRDefault="0035704B" w:rsidP="00787C90">
      <w:pPr>
        <w:pStyle w:val="BodyText"/>
        <w:spacing w:line="260" w:lineRule="exact"/>
      </w:pPr>
      <w:r>
        <w:t xml:space="preserve">Do stosowania u </w:t>
      </w:r>
      <w:r w:rsidRPr="00787C90">
        <w:t xml:space="preserve">psów dotkniętych, lub zagrożonych mieszanymi </w:t>
      </w:r>
      <w:r w:rsidR="007E336F" w:rsidRPr="00787C90">
        <w:t>inwazjami</w:t>
      </w:r>
      <w:r w:rsidRPr="00787C90">
        <w:t xml:space="preserve"> pasożytów</w:t>
      </w:r>
      <w:r w:rsidR="006D2AFB" w:rsidRPr="00787C90">
        <w:t>.</w:t>
      </w:r>
      <w:r w:rsidR="00787C90">
        <w:t xml:space="preserve"> </w:t>
      </w:r>
      <w:r w:rsidR="007E336F" w:rsidRPr="00787C90">
        <w:rPr>
          <w:szCs w:val="22"/>
        </w:rPr>
        <w:t>Ten weterynaryjny produkt leczniczy jest przeznaczony do stosowania tylko wtedy gdy wskazane jest</w:t>
      </w:r>
      <w:r w:rsidR="00787C90" w:rsidRPr="00787C90">
        <w:rPr>
          <w:szCs w:val="22"/>
        </w:rPr>
        <w:t xml:space="preserve"> </w:t>
      </w:r>
      <w:r w:rsidR="007E336F" w:rsidRPr="00787C90">
        <w:rPr>
          <w:szCs w:val="22"/>
        </w:rPr>
        <w:t>w tym samym czasie stosowanie leczenia przeciwko pchłom i jednym lub więcej docelowych pasożytów</w:t>
      </w:r>
      <w:r w:rsidR="00336FAB">
        <w:rPr>
          <w:szCs w:val="22"/>
        </w:rPr>
        <w:t>:</w:t>
      </w:r>
      <w:r w:rsidR="00F45CB7">
        <w:t xml:space="preserve"> </w:t>
      </w:r>
    </w:p>
    <w:p w14:paraId="45AC25CF" w14:textId="19187770" w:rsidR="0035704B" w:rsidRPr="00787C90" w:rsidRDefault="0035704B" w:rsidP="00787C90">
      <w:pPr>
        <w:pStyle w:val="BodyText"/>
        <w:numPr>
          <w:ilvl w:val="0"/>
          <w:numId w:val="47"/>
        </w:numPr>
        <w:spacing w:line="260" w:lineRule="exact"/>
      </w:pPr>
      <w:r>
        <w:t xml:space="preserve">zwalczanie i zapobieganie </w:t>
      </w:r>
      <w:r w:rsidR="007E336F">
        <w:t xml:space="preserve">inwazji </w:t>
      </w:r>
      <w:r>
        <w:t>pcheł (</w:t>
      </w:r>
      <w:r>
        <w:rPr>
          <w:i/>
        </w:rPr>
        <w:t>Ctenocephalides felis</w:t>
      </w:r>
      <w:r>
        <w:t xml:space="preserve">), </w:t>
      </w:r>
    </w:p>
    <w:p w14:paraId="78335D39" w14:textId="77777777" w:rsidR="0035704B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>zwalczanie wszołów (</w:t>
      </w:r>
      <w:r>
        <w:rPr>
          <w:b w:val="0"/>
          <w:i/>
        </w:rPr>
        <w:t>Trichodectes canis</w:t>
      </w:r>
      <w:r>
        <w:rPr>
          <w:b w:val="0"/>
        </w:rPr>
        <w:t xml:space="preserve">), </w:t>
      </w:r>
    </w:p>
    <w:p w14:paraId="658C4A8B" w14:textId="77777777" w:rsidR="0035704B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>zwalczanie inwazji świerzbowca usznego (</w:t>
      </w:r>
      <w:r>
        <w:rPr>
          <w:b w:val="0"/>
          <w:i/>
        </w:rPr>
        <w:t>O</w:t>
      </w:r>
      <w:smartTag w:uri="urn:schemas-microsoft-com:office:smarttags" w:element="PersonName">
        <w:r>
          <w:rPr>
            <w:b w:val="0"/>
            <w:i/>
          </w:rPr>
          <w:t>to</w:t>
        </w:r>
      </w:smartTag>
      <w:r>
        <w:rPr>
          <w:b w:val="0"/>
          <w:i/>
        </w:rPr>
        <w:t>dectes cynotis</w:t>
      </w:r>
      <w:r>
        <w:rPr>
          <w:b w:val="0"/>
        </w:rPr>
        <w:t>), świerzbowca drążącego (</w:t>
      </w:r>
      <w:r>
        <w:rPr>
          <w:b w:val="0"/>
          <w:i/>
        </w:rPr>
        <w:t xml:space="preserve">Sarcoptes scabiei </w:t>
      </w:r>
      <w:r>
        <w:rPr>
          <w:b w:val="0"/>
        </w:rPr>
        <w:t>var.</w:t>
      </w:r>
      <w:r>
        <w:rPr>
          <w:b w:val="0"/>
          <w:i/>
        </w:rPr>
        <w:t xml:space="preserve"> canis</w:t>
      </w:r>
      <w:r>
        <w:rPr>
          <w:b w:val="0"/>
        </w:rPr>
        <w:t>), nużeńca psiego (</w:t>
      </w:r>
      <w:r>
        <w:rPr>
          <w:b w:val="0"/>
          <w:i/>
        </w:rPr>
        <w:t>Demodex canis</w:t>
      </w:r>
      <w:r>
        <w:rPr>
          <w:b w:val="0"/>
        </w:rPr>
        <w:t xml:space="preserve">), </w:t>
      </w:r>
    </w:p>
    <w:p w14:paraId="521493A2" w14:textId="77777777" w:rsidR="0035704B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 xml:space="preserve"> zapobieganie inwazji nicieni wywołujących robaczycę serca (larwy L3 i L4 </w:t>
      </w:r>
      <w:r>
        <w:rPr>
          <w:b w:val="0"/>
          <w:i/>
        </w:rPr>
        <w:t>Dirofilaria immitis</w:t>
      </w:r>
      <w:r w:rsidRPr="00143E99">
        <w:rPr>
          <w:b w:val="0"/>
        </w:rPr>
        <w:t>)</w:t>
      </w:r>
      <w:r>
        <w:rPr>
          <w:b w:val="0"/>
        </w:rPr>
        <w:t>,</w:t>
      </w:r>
    </w:p>
    <w:p w14:paraId="7A707F38" w14:textId="77777777" w:rsidR="0035704B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190A6B">
        <w:rPr>
          <w:b w:val="0"/>
        </w:rPr>
        <w:t xml:space="preserve">zwalczanie </w:t>
      </w:r>
      <w:r>
        <w:rPr>
          <w:b w:val="0"/>
        </w:rPr>
        <w:t>mikrofilarii</w:t>
      </w:r>
      <w:r w:rsidRPr="00E71C2F">
        <w:rPr>
          <w:b w:val="0"/>
          <w:i/>
        </w:rPr>
        <w:t xml:space="preserve"> </w:t>
      </w:r>
      <w:r>
        <w:rPr>
          <w:b w:val="0"/>
          <w:i/>
        </w:rPr>
        <w:t xml:space="preserve">(Dirofilaria immitis) </w:t>
      </w:r>
      <w:r>
        <w:rPr>
          <w:b w:val="0"/>
        </w:rPr>
        <w:t>krążących we krwi,</w:t>
      </w:r>
    </w:p>
    <w:p w14:paraId="48CD9196" w14:textId="77777777" w:rsidR="0035704B" w:rsidRPr="000772CD" w:rsidRDefault="0035704B" w:rsidP="0035704B">
      <w:pPr>
        <w:numPr>
          <w:ilvl w:val="0"/>
          <w:numId w:val="43"/>
        </w:numPr>
        <w:tabs>
          <w:tab w:val="clear" w:pos="567"/>
        </w:tabs>
        <w:spacing w:line="240" w:lineRule="auto"/>
      </w:pPr>
      <w:r w:rsidRPr="000772CD">
        <w:t xml:space="preserve">zwalczanie postaci skórnej dirofilariozy (postacie dorosłe </w:t>
      </w:r>
      <w:r w:rsidRPr="000772CD">
        <w:rPr>
          <w:i/>
        </w:rPr>
        <w:t>Dirofilaria repens</w:t>
      </w:r>
      <w:r w:rsidRPr="000772CD">
        <w:t>),</w:t>
      </w:r>
    </w:p>
    <w:p w14:paraId="11570648" w14:textId="77777777" w:rsidR="0035704B" w:rsidRPr="007D305E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B1001C">
        <w:rPr>
          <w:b w:val="0"/>
        </w:rPr>
        <w:t>zapobiegani</w:t>
      </w:r>
      <w:r>
        <w:rPr>
          <w:b w:val="0"/>
        </w:rPr>
        <w:t>e</w:t>
      </w:r>
      <w:r w:rsidRPr="00B1001C">
        <w:rPr>
          <w:b w:val="0"/>
        </w:rPr>
        <w:t xml:space="preserve"> postaci skórnej dirofilariozy (larwy L3 </w:t>
      </w:r>
      <w:r w:rsidRPr="00B1001C">
        <w:rPr>
          <w:b w:val="0"/>
          <w:i/>
        </w:rPr>
        <w:t>Dirofilaria repens</w:t>
      </w:r>
      <w:r>
        <w:rPr>
          <w:b w:val="0"/>
          <w:i/>
        </w:rPr>
        <w:t>),</w:t>
      </w:r>
    </w:p>
    <w:p w14:paraId="5298A304" w14:textId="77777777" w:rsidR="0035704B" w:rsidRPr="00212748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541D87">
        <w:rPr>
          <w:b w:val="0"/>
        </w:rPr>
        <w:t>ograniczeni</w:t>
      </w:r>
      <w:r>
        <w:rPr>
          <w:b w:val="0"/>
        </w:rPr>
        <w:t>e</w:t>
      </w:r>
      <w:r w:rsidRPr="00541D87">
        <w:rPr>
          <w:b w:val="0"/>
        </w:rPr>
        <w:t xml:space="preserve"> ilości mikrofilarii krążących we krwi </w:t>
      </w:r>
      <w:r>
        <w:rPr>
          <w:b w:val="0"/>
        </w:rPr>
        <w:t>(</w:t>
      </w:r>
      <w:r w:rsidRPr="00B1001C">
        <w:rPr>
          <w:b w:val="0"/>
          <w:i/>
        </w:rPr>
        <w:t>Dirofilaria repens</w:t>
      </w:r>
      <w:r>
        <w:rPr>
          <w:b w:val="0"/>
          <w:i/>
        </w:rPr>
        <w:t>),</w:t>
      </w:r>
    </w:p>
    <w:p w14:paraId="44B2A665" w14:textId="77777777" w:rsidR="0035704B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lastRenderedPageBreak/>
        <w:t>zapobieganie</w:t>
      </w:r>
      <w:r w:rsidRPr="00541D87">
        <w:rPr>
          <w:b w:val="0"/>
        </w:rPr>
        <w:t xml:space="preserve"> angiostrongyloz</w:t>
      </w:r>
      <w:r>
        <w:rPr>
          <w:b w:val="0"/>
        </w:rPr>
        <w:t>ie</w:t>
      </w:r>
      <w:r w:rsidRPr="00541D87">
        <w:rPr>
          <w:b w:val="0"/>
        </w:rPr>
        <w:t xml:space="preserve"> (larwy L4 i niedojrzałe postacie dorosłe</w:t>
      </w:r>
      <w:r w:rsidRPr="00541D87">
        <w:rPr>
          <w:b w:val="0"/>
          <w:i/>
        </w:rPr>
        <w:t xml:space="preserve"> Angiostrongylus vasorum</w:t>
      </w:r>
      <w:r w:rsidRPr="00541D87">
        <w:rPr>
          <w:b w:val="0"/>
        </w:rPr>
        <w:t>)</w:t>
      </w:r>
      <w:r>
        <w:rPr>
          <w:b w:val="0"/>
        </w:rPr>
        <w:t>,</w:t>
      </w:r>
    </w:p>
    <w:p w14:paraId="14A657A5" w14:textId="77777777" w:rsidR="0035704B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541D87">
        <w:rPr>
          <w:b w:val="0"/>
        </w:rPr>
        <w:t>zwalczani</w:t>
      </w:r>
      <w:r>
        <w:rPr>
          <w:b w:val="0"/>
        </w:rPr>
        <w:t>e</w:t>
      </w:r>
      <w:r w:rsidRPr="00541D87">
        <w:rPr>
          <w:b w:val="0"/>
        </w:rPr>
        <w:t xml:space="preserve"> </w:t>
      </w:r>
      <w:r w:rsidRPr="00541D87">
        <w:rPr>
          <w:b w:val="0"/>
          <w:i/>
        </w:rPr>
        <w:t>Angiostrongylus vasorum</w:t>
      </w:r>
      <w:r w:rsidRPr="00541D87">
        <w:rPr>
          <w:b w:val="0"/>
        </w:rPr>
        <w:t xml:space="preserve"> i </w:t>
      </w:r>
      <w:r w:rsidRPr="00541D87">
        <w:rPr>
          <w:b w:val="0"/>
          <w:i/>
        </w:rPr>
        <w:t>Crenosoma vulpis</w:t>
      </w:r>
      <w:r w:rsidRPr="00541D87">
        <w:rPr>
          <w:b w:val="0"/>
        </w:rPr>
        <w:t xml:space="preserve">, </w:t>
      </w:r>
    </w:p>
    <w:p w14:paraId="4C7D1E72" w14:textId="77777777" w:rsidR="0035704B" w:rsidRPr="0023270B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>zapobieganie spirocerkozie</w:t>
      </w:r>
      <w:r w:rsidRPr="00541D87">
        <w:rPr>
          <w:b w:val="0"/>
        </w:rPr>
        <w:t xml:space="preserve"> </w:t>
      </w:r>
      <w:r w:rsidRPr="00541D87">
        <w:rPr>
          <w:b w:val="0"/>
          <w:szCs w:val="22"/>
        </w:rPr>
        <w:t>(</w:t>
      </w:r>
      <w:r w:rsidRPr="00541D87">
        <w:rPr>
          <w:b w:val="0"/>
          <w:i/>
          <w:szCs w:val="22"/>
        </w:rPr>
        <w:t>Spirocerca lupi</w:t>
      </w:r>
      <w:r w:rsidRPr="00541D87">
        <w:rPr>
          <w:b w:val="0"/>
          <w:szCs w:val="22"/>
        </w:rPr>
        <w:t>),</w:t>
      </w:r>
    </w:p>
    <w:p w14:paraId="7705DC85" w14:textId="69BF6387" w:rsidR="0035704B" w:rsidRDefault="0035704B" w:rsidP="0035704B">
      <w:pPr>
        <w:pStyle w:val="BodyTextIndent2"/>
        <w:numPr>
          <w:ilvl w:val="0"/>
          <w:numId w:val="43"/>
        </w:numPr>
        <w:rPr>
          <w:b w:val="0"/>
        </w:rPr>
      </w:pPr>
      <w:r>
        <w:rPr>
          <w:b w:val="0"/>
        </w:rPr>
        <w:t xml:space="preserve">  </w:t>
      </w:r>
      <w:r w:rsidR="007E336F">
        <w:rPr>
          <w:b w:val="0"/>
        </w:rPr>
        <w:t xml:space="preserve"> </w:t>
      </w:r>
      <w:r w:rsidRPr="0023270B">
        <w:rPr>
          <w:b w:val="0"/>
        </w:rPr>
        <w:t xml:space="preserve">zwalczanie </w:t>
      </w:r>
      <w:r>
        <w:rPr>
          <w:b w:val="0"/>
        </w:rPr>
        <w:t xml:space="preserve">inwazji </w:t>
      </w:r>
      <w:r w:rsidRPr="0023270B">
        <w:rPr>
          <w:b w:val="0"/>
          <w:i/>
        </w:rPr>
        <w:t xml:space="preserve">Eucoleus </w:t>
      </w:r>
      <w:r w:rsidRPr="0023270B">
        <w:rPr>
          <w:b w:val="0"/>
        </w:rPr>
        <w:t xml:space="preserve">(syn. </w:t>
      </w:r>
      <w:r w:rsidRPr="0023270B">
        <w:rPr>
          <w:b w:val="0"/>
          <w:i/>
        </w:rPr>
        <w:t>Capillaria</w:t>
      </w:r>
      <w:r w:rsidRPr="0023270B">
        <w:rPr>
          <w:b w:val="0"/>
        </w:rPr>
        <w:t>)</w:t>
      </w:r>
      <w:r w:rsidRPr="0023270B">
        <w:rPr>
          <w:b w:val="0"/>
          <w:i/>
        </w:rPr>
        <w:t xml:space="preserve"> boehmi </w:t>
      </w:r>
      <w:r w:rsidRPr="0023270B">
        <w:rPr>
          <w:b w:val="0"/>
        </w:rPr>
        <w:t>(</w:t>
      </w:r>
      <w:r>
        <w:rPr>
          <w:b w:val="0"/>
        </w:rPr>
        <w:t>postaci dorosłe</w:t>
      </w:r>
      <w:r w:rsidRPr="0023270B">
        <w:rPr>
          <w:b w:val="0"/>
        </w:rPr>
        <w:t>),</w:t>
      </w:r>
    </w:p>
    <w:p w14:paraId="36E9C3BE" w14:textId="4CEF823C" w:rsidR="0035704B" w:rsidRPr="006C293E" w:rsidRDefault="0035704B" w:rsidP="0035704B">
      <w:pPr>
        <w:pStyle w:val="BodyTextIndent2"/>
        <w:numPr>
          <w:ilvl w:val="0"/>
          <w:numId w:val="43"/>
        </w:numPr>
        <w:rPr>
          <w:b w:val="0"/>
        </w:rPr>
      </w:pPr>
      <w:r>
        <w:rPr>
          <w:b w:val="0"/>
        </w:rPr>
        <w:t xml:space="preserve">  </w:t>
      </w:r>
      <w:r w:rsidR="007E336F">
        <w:rPr>
          <w:b w:val="0"/>
        </w:rPr>
        <w:t xml:space="preserve"> </w:t>
      </w:r>
      <w:r>
        <w:rPr>
          <w:b w:val="0"/>
        </w:rPr>
        <w:t xml:space="preserve">zwalczanie nicieni ocznych </w:t>
      </w:r>
      <w:r w:rsidRPr="0023270B">
        <w:rPr>
          <w:b w:val="0"/>
          <w:i/>
        </w:rPr>
        <w:t>Thelazia callipaeda</w:t>
      </w:r>
      <w:r w:rsidRPr="0023270B">
        <w:rPr>
          <w:b w:val="0"/>
        </w:rPr>
        <w:t xml:space="preserve"> (</w:t>
      </w:r>
      <w:r>
        <w:rPr>
          <w:b w:val="0"/>
        </w:rPr>
        <w:t>postaci dorosłe</w:t>
      </w:r>
      <w:r w:rsidRPr="0023270B">
        <w:rPr>
          <w:b w:val="0"/>
        </w:rPr>
        <w:t>),</w:t>
      </w:r>
    </w:p>
    <w:p w14:paraId="41071961" w14:textId="3DB1C30B" w:rsidR="0035704B" w:rsidRDefault="0035704B" w:rsidP="0035704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541D87">
        <w:rPr>
          <w:b w:val="0"/>
        </w:rPr>
        <w:t>zwalczani</w:t>
      </w:r>
      <w:r>
        <w:rPr>
          <w:b w:val="0"/>
        </w:rPr>
        <w:t>e</w:t>
      </w:r>
      <w:r w:rsidRPr="00541D87">
        <w:rPr>
          <w:b w:val="0"/>
        </w:rPr>
        <w:t xml:space="preserve"> </w:t>
      </w:r>
      <w:r w:rsidR="007E336F" w:rsidRPr="00541D87">
        <w:rPr>
          <w:b w:val="0"/>
        </w:rPr>
        <w:t>i</w:t>
      </w:r>
      <w:r w:rsidR="007E336F">
        <w:rPr>
          <w:b w:val="0"/>
        </w:rPr>
        <w:t xml:space="preserve">nwazji </w:t>
      </w:r>
      <w:r w:rsidRPr="00541D87">
        <w:rPr>
          <w:b w:val="0"/>
        </w:rPr>
        <w:t xml:space="preserve">nicieni żołądkowo-jelitowych (larw L4, niedojrzałych i dojrzałych dorosłych postaci </w:t>
      </w:r>
      <w:r w:rsidRPr="00541D87">
        <w:rPr>
          <w:b w:val="0"/>
          <w:i/>
        </w:rPr>
        <w:t>Toxocara canis</w:t>
      </w:r>
      <w:r w:rsidRPr="00541D87">
        <w:rPr>
          <w:b w:val="0"/>
        </w:rPr>
        <w:t xml:space="preserve">, </w:t>
      </w:r>
      <w:r w:rsidRPr="00541D87">
        <w:rPr>
          <w:b w:val="0"/>
          <w:i/>
        </w:rPr>
        <w:t xml:space="preserve">Ancylostoma caninum </w:t>
      </w:r>
      <w:r w:rsidRPr="00541D87">
        <w:rPr>
          <w:b w:val="0"/>
        </w:rPr>
        <w:t xml:space="preserve">oraz </w:t>
      </w:r>
      <w:r w:rsidRPr="00541D87">
        <w:rPr>
          <w:b w:val="0"/>
          <w:i/>
        </w:rPr>
        <w:t>Uncinaria stenocephala</w:t>
      </w:r>
      <w:r w:rsidRPr="00541D87">
        <w:rPr>
          <w:b w:val="0"/>
        </w:rPr>
        <w:t>, dorosłych p</w:t>
      </w:r>
      <w:r w:rsidRPr="00123DAD">
        <w:rPr>
          <w:b w:val="0"/>
        </w:rPr>
        <w:t xml:space="preserve">ostaci </w:t>
      </w:r>
      <w:r w:rsidRPr="00123DAD">
        <w:rPr>
          <w:b w:val="0"/>
          <w:i/>
        </w:rPr>
        <w:t xml:space="preserve">Toxascaris leonina </w:t>
      </w:r>
      <w:r w:rsidRPr="00123DAD">
        <w:rPr>
          <w:b w:val="0"/>
        </w:rPr>
        <w:t xml:space="preserve">i </w:t>
      </w:r>
      <w:r w:rsidRPr="00123DAD">
        <w:rPr>
          <w:b w:val="0"/>
          <w:i/>
        </w:rPr>
        <w:t>Trichuris vulpis</w:t>
      </w:r>
      <w:r w:rsidRPr="00123DAD">
        <w:rPr>
          <w:b w:val="0"/>
        </w:rPr>
        <w:t xml:space="preserve">). </w:t>
      </w:r>
    </w:p>
    <w:p w14:paraId="656AAC84" w14:textId="77777777" w:rsidR="00787C90" w:rsidRDefault="00787C90" w:rsidP="00787C90">
      <w:pPr>
        <w:pStyle w:val="BodyTextIndent2"/>
        <w:tabs>
          <w:tab w:val="clear" w:pos="567"/>
        </w:tabs>
        <w:ind w:left="720" w:firstLine="0"/>
        <w:jc w:val="left"/>
        <w:rPr>
          <w:b w:val="0"/>
        </w:rPr>
      </w:pPr>
    </w:p>
    <w:p w14:paraId="48657169" w14:textId="2613C5AB" w:rsidR="0035704B" w:rsidRPr="00123DAD" w:rsidRDefault="00AA4568" w:rsidP="0035704B">
      <w:pPr>
        <w:pStyle w:val="BodyTextIndent2"/>
        <w:tabs>
          <w:tab w:val="clear" w:pos="567"/>
        </w:tabs>
        <w:ind w:left="0" w:firstLine="0"/>
        <w:jc w:val="left"/>
        <w:rPr>
          <w:b w:val="0"/>
        </w:rPr>
      </w:pPr>
      <w:r>
        <w:rPr>
          <w:b w:val="0"/>
        </w:rPr>
        <w:t>Weterynaryjny produkt leczniczy</w:t>
      </w:r>
      <w:r w:rsidR="0035704B" w:rsidRPr="00123DAD">
        <w:rPr>
          <w:b w:val="0"/>
        </w:rPr>
        <w:t xml:space="preserve"> może być stosowany jako element złożonego leczenia alergicznego pchlego zapalenia skóry (FAD). </w:t>
      </w:r>
    </w:p>
    <w:p w14:paraId="06F7894A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15A85C4" w14:textId="77777777" w:rsidR="00C03C50" w:rsidRPr="00BE15AB" w:rsidRDefault="00C03C50" w:rsidP="00C03C50">
      <w:pPr>
        <w:pStyle w:val="Style1"/>
      </w:pPr>
      <w:r w:rsidRPr="00BE15AB">
        <w:t>3.3</w:t>
      </w:r>
      <w:r w:rsidRPr="00BE15AB">
        <w:tab/>
        <w:t>Przeciwwskazania</w:t>
      </w:r>
    </w:p>
    <w:p w14:paraId="68A3092D" w14:textId="77777777" w:rsidR="0035704B" w:rsidRDefault="0035704B" w:rsidP="00C03C50">
      <w:pPr>
        <w:tabs>
          <w:tab w:val="clear" w:pos="567"/>
        </w:tabs>
        <w:spacing w:line="240" w:lineRule="auto"/>
        <w:rPr>
          <w:szCs w:val="22"/>
        </w:rPr>
      </w:pPr>
    </w:p>
    <w:p w14:paraId="09A262DE" w14:textId="77777777" w:rsidR="0035704B" w:rsidRDefault="0035704B" w:rsidP="0035704B">
      <w:pPr>
        <w:keepNext/>
      </w:pPr>
      <w:r>
        <w:t>Nie s</w:t>
      </w:r>
      <w:smartTag w:uri="urn:schemas-microsoft-com:office:smarttags" w:element="PersonName">
        <w:r>
          <w:t>to</w:t>
        </w:r>
      </w:smartTag>
      <w:r>
        <w:t>sować u szczeniąt poniżej 7 tygodnia życia.</w:t>
      </w:r>
    </w:p>
    <w:p w14:paraId="35B7A036" w14:textId="77777777" w:rsidR="0035704B" w:rsidRDefault="0035704B" w:rsidP="0035704B"/>
    <w:p w14:paraId="608A0EFB" w14:textId="77777777" w:rsidR="0035704B" w:rsidRDefault="0035704B" w:rsidP="0035704B">
      <w:r>
        <w:t>Nie s</w:t>
      </w:r>
      <w:smartTag w:uri="urn:schemas-microsoft-com:office:smarttags" w:element="PersonName">
        <w:r>
          <w:t>to</w:t>
        </w:r>
      </w:smartTag>
      <w:r>
        <w:t>sować w przypadkach nadwrażliwości na substancje czynne lub na dowolną substancję pomocniczą.</w:t>
      </w:r>
    </w:p>
    <w:p w14:paraId="2B6DAB72" w14:textId="77777777" w:rsidR="0035704B" w:rsidRDefault="0035704B" w:rsidP="0035704B"/>
    <w:p w14:paraId="2956FC59" w14:textId="67944141" w:rsidR="0035704B" w:rsidRDefault="0035704B" w:rsidP="0035704B">
      <w:r>
        <w:t>Nie stosować u psów zaklasyfikowanych do klasy 4 pod względem natężenia objawów robaczycy serca ponieważ bezpieczeństwo tego</w:t>
      </w:r>
      <w:r w:rsidR="006D2AFB">
        <w:t xml:space="preserve"> weterynaryjnego </w:t>
      </w:r>
      <w:r>
        <w:t xml:space="preserve">produktu </w:t>
      </w:r>
      <w:r w:rsidR="006D2AFB">
        <w:t xml:space="preserve">leczniczego </w:t>
      </w:r>
      <w:r>
        <w:t xml:space="preserve">nie było oceniane w tej grupie zwierząt. </w:t>
      </w:r>
    </w:p>
    <w:p w14:paraId="091BA433" w14:textId="77777777" w:rsidR="0035704B" w:rsidRDefault="0035704B" w:rsidP="0035704B"/>
    <w:p w14:paraId="40B3EE0B" w14:textId="08E72A07" w:rsidR="007E336F" w:rsidRDefault="006D2AFB" w:rsidP="0035704B">
      <w:pPr>
        <w:pStyle w:val="BodyText"/>
        <w:tabs>
          <w:tab w:val="left" w:pos="567"/>
        </w:tabs>
        <w:spacing w:line="260" w:lineRule="exact"/>
      </w:pPr>
      <w:r>
        <w:t xml:space="preserve">Nie stosować u kotów. </w:t>
      </w:r>
      <w:r w:rsidR="00AE6E0C">
        <w:t>U</w:t>
      </w:r>
      <w:r w:rsidR="0035704B">
        <w:t xml:space="preserve"> kotów należy stosować odpowiednio produkt “Advocate dla kotów” </w:t>
      </w:r>
      <w:r w:rsidR="0035704B" w:rsidRPr="00D06EAC">
        <w:t>(0</w:t>
      </w:r>
      <w:r w:rsidR="0035704B">
        <w:t xml:space="preserve">,4 lub </w:t>
      </w:r>
      <w:r w:rsidR="0035704B" w:rsidRPr="00D06EAC">
        <w:t>0</w:t>
      </w:r>
      <w:r w:rsidR="0035704B">
        <w:t>,</w:t>
      </w:r>
      <w:r w:rsidR="0035704B" w:rsidRPr="00D06EAC">
        <w:t>8 ml)</w:t>
      </w:r>
      <w:r w:rsidR="0035704B">
        <w:t xml:space="preserve">, zawierający 100 mg/ml </w:t>
      </w:r>
      <w:r w:rsidR="007D5DD2">
        <w:t xml:space="preserve">imidakloprydu </w:t>
      </w:r>
      <w:r w:rsidR="0035704B">
        <w:t>i 10 mg/ml moksydektyny.</w:t>
      </w:r>
    </w:p>
    <w:p w14:paraId="7608B741" w14:textId="77777777" w:rsidR="00787C90" w:rsidRDefault="00787C90" w:rsidP="0035704B">
      <w:pPr>
        <w:pStyle w:val="BodyText"/>
        <w:tabs>
          <w:tab w:val="left" w:pos="567"/>
        </w:tabs>
        <w:spacing w:line="260" w:lineRule="exact"/>
      </w:pPr>
    </w:p>
    <w:p w14:paraId="379A0793" w14:textId="5F92FCDF" w:rsidR="0035704B" w:rsidRDefault="006D2AFB" w:rsidP="0035704B">
      <w:pPr>
        <w:jc w:val="both"/>
      </w:pPr>
      <w:r>
        <w:t xml:space="preserve">Nie stosować u fretek. </w:t>
      </w:r>
      <w:r w:rsidR="007E336F">
        <w:t xml:space="preserve"> U fretek może być stosowany t</w:t>
      </w:r>
      <w:r>
        <w:t>ylko „</w:t>
      </w:r>
      <w:r w:rsidR="0035704B">
        <w:t>Advocate dla małych kotów i fretek</w:t>
      </w:r>
      <w:r w:rsidR="003F4614">
        <w:t>”</w:t>
      </w:r>
      <w:r w:rsidR="0035704B">
        <w:t xml:space="preserve"> </w:t>
      </w:r>
      <w:r w:rsidR="0035704B" w:rsidRPr="005B0EEA">
        <w:t>(0</w:t>
      </w:r>
      <w:r w:rsidR="0035704B">
        <w:t>,</w:t>
      </w:r>
      <w:r w:rsidR="0035704B" w:rsidRPr="005B0EEA">
        <w:t>4 ml)</w:t>
      </w:r>
      <w:r>
        <w:t>.</w:t>
      </w:r>
    </w:p>
    <w:p w14:paraId="2B216C8B" w14:textId="77777777" w:rsidR="0035704B" w:rsidRDefault="0035704B" w:rsidP="0035704B">
      <w:pPr>
        <w:jc w:val="both"/>
      </w:pPr>
    </w:p>
    <w:p w14:paraId="3C4DD7AE" w14:textId="77777777" w:rsidR="0035704B" w:rsidRDefault="0035704B" w:rsidP="0035704B">
      <w:pPr>
        <w:jc w:val="both"/>
      </w:pPr>
      <w:r w:rsidRPr="00FC65E7">
        <w:t>Nie s</w:t>
      </w:r>
      <w:smartTag w:uri="urn:schemas-microsoft-com:office:smarttags" w:element="PersonName">
        <w:r w:rsidRPr="00FC65E7">
          <w:t>to</w:t>
        </w:r>
      </w:smartTag>
      <w:r w:rsidRPr="00FC65E7">
        <w:t>sować u kanarków.</w:t>
      </w:r>
    </w:p>
    <w:p w14:paraId="18E0C928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ACA9D8A" w14:textId="476B2FC0" w:rsidR="00C03C50" w:rsidRPr="00BE15AB" w:rsidRDefault="00C03C50" w:rsidP="00787C90">
      <w:pPr>
        <w:pStyle w:val="Style1"/>
      </w:pPr>
      <w:r w:rsidRPr="00BE15AB">
        <w:t>3.4</w:t>
      </w:r>
      <w:r w:rsidRPr="00BE15AB">
        <w:tab/>
        <w:t>Specjalne ostrzeżenia</w:t>
      </w:r>
    </w:p>
    <w:p w14:paraId="4D52CA44" w14:textId="77777777" w:rsidR="0035704B" w:rsidRDefault="0035704B" w:rsidP="0035704B"/>
    <w:p w14:paraId="7C2660B3" w14:textId="6BA328F1" w:rsidR="0035704B" w:rsidRDefault="0035704B" w:rsidP="00787C90">
      <w:pPr>
        <w:pStyle w:val="BodyText"/>
        <w:spacing w:line="260" w:lineRule="exact"/>
        <w:jc w:val="left"/>
      </w:pPr>
      <w:r>
        <w:t>Krótkotrwały, jedno lub dwukrotny kontakt zwierzęcia z wodą pomiędzy comiesięcznym</w:t>
      </w:r>
      <w:r w:rsidR="00787C90">
        <w:t xml:space="preserve"> </w:t>
      </w:r>
      <w:r>
        <w:t xml:space="preserve">nanoszeniem </w:t>
      </w:r>
      <w:r w:rsidR="00F01BB9">
        <w:t xml:space="preserve">weterynaryjnego </w:t>
      </w:r>
      <w:r>
        <w:t>produktu</w:t>
      </w:r>
      <w:r w:rsidR="00F01BB9">
        <w:t xml:space="preserve"> leczniczego</w:t>
      </w:r>
      <w:r>
        <w:t xml:space="preserve"> nie powoduje znaczącego spadku skuteczności </w:t>
      </w:r>
      <w:r w:rsidR="00800852">
        <w:t xml:space="preserve">tego weterynaryjnego </w:t>
      </w:r>
      <w:r>
        <w:t>produktu</w:t>
      </w:r>
      <w:r w:rsidR="00800852">
        <w:t xml:space="preserve"> leczniczego</w:t>
      </w:r>
      <w:r>
        <w:t xml:space="preserve">. Jednakże częste mycie przy pomocy szamponu lub zanurzanie zwierzęcia w wodzie po naniesieniu </w:t>
      </w:r>
      <w:r w:rsidR="00800852">
        <w:t xml:space="preserve">weterynaryjnego </w:t>
      </w:r>
      <w:r>
        <w:t xml:space="preserve">produktu </w:t>
      </w:r>
      <w:r w:rsidR="00800852">
        <w:t xml:space="preserve">leczniczego </w:t>
      </w:r>
      <w:r>
        <w:t xml:space="preserve">może znacznie ograniczyć skuteczność </w:t>
      </w:r>
      <w:r w:rsidR="00800852">
        <w:t xml:space="preserve">tego weterynaryjnego </w:t>
      </w:r>
      <w:r>
        <w:t>produktu</w:t>
      </w:r>
      <w:r w:rsidR="00800852">
        <w:t xml:space="preserve"> leczniczego</w:t>
      </w:r>
      <w:r>
        <w:t>.</w:t>
      </w:r>
    </w:p>
    <w:p w14:paraId="6F21A10C" w14:textId="77777777" w:rsidR="00F01BB9" w:rsidRDefault="00F01BB9" w:rsidP="0035704B">
      <w:pPr>
        <w:pStyle w:val="BodyText"/>
        <w:spacing w:line="260" w:lineRule="exact"/>
      </w:pPr>
    </w:p>
    <w:p w14:paraId="43FB1734" w14:textId="65492341" w:rsidR="00F01BB9" w:rsidRPr="00473B7D" w:rsidRDefault="00F01BB9" w:rsidP="00F01BB9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Należy wziąć pod uwagę możliwość, że inne zwierzęta żyjące w tym samym gospodarstwie domowym mogą być źródłem ponownego zarażenia pchłami, roztoczami, </w:t>
      </w:r>
      <w:r>
        <w:t xml:space="preserve">nicieniami żołądkowo-jelitowymi, nicieniami wywołującymi robaczycę serca i/lub nicieniami płucnymi </w:t>
      </w:r>
      <w:r>
        <w:rPr>
          <w:szCs w:val="22"/>
        </w:rPr>
        <w:t>i w razie potrzeby należy je leczyć odpowiednim produktem.</w:t>
      </w:r>
    </w:p>
    <w:p w14:paraId="12B5F1F2" w14:textId="77777777" w:rsidR="00F01BB9" w:rsidRPr="00473B7D" w:rsidRDefault="00F01BB9" w:rsidP="00F01BB9">
      <w:pPr>
        <w:tabs>
          <w:tab w:val="clear" w:pos="567"/>
        </w:tabs>
        <w:spacing w:line="240" w:lineRule="auto"/>
        <w:rPr>
          <w:szCs w:val="22"/>
        </w:rPr>
      </w:pPr>
    </w:p>
    <w:p w14:paraId="67013A78" w14:textId="319C659A" w:rsidR="0035704B" w:rsidRDefault="00F01BB9" w:rsidP="0035704B">
      <w:pPr>
        <w:rPr>
          <w:szCs w:val="22"/>
        </w:rPr>
      </w:pPr>
      <w:r>
        <w:rPr>
          <w:szCs w:val="22"/>
        </w:rPr>
        <w:t xml:space="preserve">Niepotrzebne stosowanie środków przeciwpasożytniczych lub stosowanie ich niezgodnie z instrukcjami podanymi w ChWPL może zwiększyć wpływ na oporność selektywną i prowadzić do zmniejszenia skuteczności. Decyzja o zastosowaniu tego produktu powinna opierać się na potwierdzeniu gatunku pasożyta i obciążenia pasożytniczego lub ryzyka zarażenia w oparciu o jego cechy epidemiologiczne, w przypadku każdego zwierzęcia indywidualnie. </w:t>
      </w:r>
    </w:p>
    <w:p w14:paraId="11F25CE7" w14:textId="77777777" w:rsidR="00787C90" w:rsidRPr="00AD768B" w:rsidRDefault="00787C90" w:rsidP="0035704B"/>
    <w:p w14:paraId="352CF96B" w14:textId="77777777" w:rsidR="0035704B" w:rsidRDefault="0035704B" w:rsidP="0035704B">
      <w:r w:rsidRPr="00190A6B">
        <w:t xml:space="preserve">Skuteczność przeciwko </w:t>
      </w:r>
      <w:r>
        <w:t xml:space="preserve">postaciom dorosłym </w:t>
      </w:r>
      <w:r w:rsidRPr="00712CD1">
        <w:rPr>
          <w:i/>
        </w:rPr>
        <w:t>Dirofilaria repens</w:t>
      </w:r>
      <w:r w:rsidRPr="00190A6B">
        <w:t xml:space="preserve"> nie został</w:t>
      </w:r>
      <w:r>
        <w:t>a przetes</w:t>
      </w:r>
      <w:smartTag w:uri="urn:schemas-microsoft-com:office:smarttags" w:element="PersonName">
        <w:r>
          <w:t>to</w:t>
        </w:r>
      </w:smartTag>
      <w:r>
        <w:t>wana</w:t>
      </w:r>
      <w:r w:rsidRPr="00190A6B">
        <w:t xml:space="preserve"> w </w:t>
      </w:r>
      <w:r w:rsidRPr="0092702F">
        <w:t>badaniach terenowych</w:t>
      </w:r>
      <w:r>
        <w:t>.</w:t>
      </w:r>
    </w:p>
    <w:p w14:paraId="57AC7948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0EB5B0C0" w14:textId="77777777" w:rsidR="00C03C50" w:rsidRPr="00BE15AB" w:rsidRDefault="00C03C50" w:rsidP="00C03C50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6B4A774F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2D00F6E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lastRenderedPageBreak/>
        <w:t>Specjalne środki ostrożności dotyczące bezpiecznego stosowania u docelowych gatunków zwierząt:</w:t>
      </w:r>
    </w:p>
    <w:p w14:paraId="22ECC102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17353A26" w14:textId="57F29079" w:rsidR="0035704B" w:rsidRDefault="0035704B" w:rsidP="0035704B">
      <w:pPr>
        <w:pStyle w:val="BodyText"/>
        <w:tabs>
          <w:tab w:val="left" w:pos="0"/>
        </w:tabs>
        <w:spacing w:line="260" w:lineRule="exact"/>
      </w:pPr>
      <w:r>
        <w:t xml:space="preserve">Stosowanie u zwierząt o masie ciała </w:t>
      </w:r>
      <w:r w:rsidR="00F01BB9">
        <w:t>poniżej</w:t>
      </w:r>
      <w:r>
        <w:t xml:space="preserve"> </w:t>
      </w:r>
      <w:smartTag w:uri="urn:schemas-microsoft-com:office:smarttags" w:element="metricconverter">
        <w:smartTagPr>
          <w:attr w:name="ProductID" w:val="1 kg"/>
        </w:smartTagPr>
        <w:r>
          <w:t>1 kg</w:t>
        </w:r>
      </w:smartTag>
      <w:r>
        <w:t xml:space="preserve"> powinno być oparte na ocenie bilansu korzyści do ryzyka wynikającego ze stosowania produktu. </w:t>
      </w:r>
    </w:p>
    <w:p w14:paraId="700493AD" w14:textId="77777777" w:rsidR="0035704B" w:rsidRDefault="0035704B" w:rsidP="0035704B">
      <w:pPr>
        <w:pStyle w:val="BodyText"/>
        <w:tabs>
          <w:tab w:val="left" w:pos="567"/>
        </w:tabs>
        <w:spacing w:line="260" w:lineRule="exact"/>
      </w:pPr>
    </w:p>
    <w:p w14:paraId="7AA245CF" w14:textId="0F9D4F65" w:rsidR="0035704B" w:rsidRDefault="0035704B" w:rsidP="0035704B">
      <w:pPr>
        <w:pStyle w:val="BodyText"/>
        <w:tabs>
          <w:tab w:val="left" w:pos="0"/>
        </w:tabs>
        <w:spacing w:line="260" w:lineRule="exact"/>
      </w:pPr>
      <w:r>
        <w:t xml:space="preserve">Z uwagi na fakt ograniczonego doświadczenia w stosowaniu tego </w:t>
      </w:r>
      <w:r w:rsidR="00800852">
        <w:t xml:space="preserve">weterynaryjnego </w:t>
      </w:r>
      <w:r>
        <w:t>produktu</w:t>
      </w:r>
      <w:r w:rsidR="00800852">
        <w:t xml:space="preserve"> leczniczego</w:t>
      </w:r>
      <w:r>
        <w:t xml:space="preserve"> u zwierząt chorych i osłabionych zastosowanie </w:t>
      </w:r>
      <w:r w:rsidR="00E43952">
        <w:t xml:space="preserve">tego weterynaryjnego produktu leczniczego </w:t>
      </w:r>
      <w:r>
        <w:t>u takich osobników powinno</w:t>
      </w:r>
      <w:r w:rsidRPr="0084459F">
        <w:t xml:space="preserve"> </w:t>
      </w:r>
      <w:r>
        <w:t>być oparte na ocenie bilansu korzyści do ryzyka wynikającego ze stosowania produktu.</w:t>
      </w:r>
    </w:p>
    <w:p w14:paraId="3E5D210B" w14:textId="77777777" w:rsidR="0035704B" w:rsidRDefault="0035704B" w:rsidP="0035704B">
      <w:pPr>
        <w:pStyle w:val="BodyText"/>
        <w:tabs>
          <w:tab w:val="left" w:pos="0"/>
        </w:tabs>
        <w:spacing w:line="260" w:lineRule="exact"/>
      </w:pPr>
    </w:p>
    <w:p w14:paraId="15C96CCE" w14:textId="77777777" w:rsidR="0035704B" w:rsidRDefault="0035704B" w:rsidP="0035704B">
      <w:r w:rsidRPr="00B026FF">
        <w:t>Nie podawać doustnie, ani do oczu czy uszu zwierzęcia.</w:t>
      </w:r>
    </w:p>
    <w:p w14:paraId="6B5FCB16" w14:textId="77777777" w:rsidR="0035704B" w:rsidRDefault="0035704B" w:rsidP="0035704B">
      <w:pPr>
        <w:tabs>
          <w:tab w:val="left" w:pos="0"/>
        </w:tabs>
      </w:pPr>
    </w:p>
    <w:p w14:paraId="54FF0A4B" w14:textId="20FB9C93" w:rsidR="0035704B" w:rsidRDefault="0035704B" w:rsidP="0035704B">
      <w:pPr>
        <w:tabs>
          <w:tab w:val="left" w:pos="0"/>
        </w:tabs>
      </w:pPr>
      <w:r>
        <w:t xml:space="preserve">Należy zachować ostrożność i nie dopuścić, aby </w:t>
      </w:r>
      <w:r w:rsidR="00800852">
        <w:t>weterynaryjny produkt leczniczy</w:t>
      </w:r>
      <w:r>
        <w:t xml:space="preserve"> został połknięty przez zwierzęta lub zetknął się z oczami lub pyskiem leczonego zwierzęcia lub zwierząt mających z nim kontakt. </w:t>
      </w:r>
    </w:p>
    <w:p w14:paraId="573AD076" w14:textId="77777777" w:rsidR="0035704B" w:rsidRDefault="0035704B" w:rsidP="0035704B">
      <w:pPr>
        <w:tabs>
          <w:tab w:val="left" w:pos="0"/>
        </w:tabs>
      </w:pPr>
    </w:p>
    <w:p w14:paraId="065C2A51" w14:textId="6FB286CC" w:rsidR="0035704B" w:rsidRDefault="0035704B" w:rsidP="0035704B">
      <w:pPr>
        <w:tabs>
          <w:tab w:val="left" w:pos="0"/>
        </w:tabs>
      </w:pPr>
      <w:r w:rsidRPr="00CD1B8D">
        <w:t xml:space="preserve">Aby zminimalizować ryzyko </w:t>
      </w:r>
      <w:r>
        <w:t>z</w:t>
      </w:r>
      <w:r w:rsidRPr="00CD1B8D">
        <w:t xml:space="preserve">lizania </w:t>
      </w:r>
      <w:r w:rsidR="00800852">
        <w:t xml:space="preserve">weterynaryjnego </w:t>
      </w:r>
      <w:r w:rsidRPr="00CD1B8D">
        <w:t>produktu</w:t>
      </w:r>
      <w:r w:rsidR="00800852">
        <w:t xml:space="preserve"> leczniczego</w:t>
      </w:r>
      <w:r w:rsidRPr="00CD1B8D">
        <w:t xml:space="preserve"> przez zwierzę należy dokładnie zapoznać się z poprawną metod</w:t>
      </w:r>
      <w:r>
        <w:t>ą</w:t>
      </w:r>
      <w:r w:rsidRPr="00CD1B8D">
        <w:t xml:space="preserve"> aplikacji opisaną w punkcie </w:t>
      </w:r>
      <w:r w:rsidR="00800852">
        <w:t>3</w:t>
      </w:r>
      <w:r w:rsidRPr="00CD1B8D">
        <w:t xml:space="preserve">.9, szczególnie że </w:t>
      </w:r>
      <w:r w:rsidR="00800852">
        <w:t xml:space="preserve">weterynaryjny </w:t>
      </w:r>
      <w:r w:rsidRPr="00CD1B8D">
        <w:t xml:space="preserve">produkt </w:t>
      </w:r>
      <w:r w:rsidR="00800852">
        <w:t xml:space="preserve">leczniczy </w:t>
      </w:r>
      <w:r w:rsidRPr="00CD1B8D">
        <w:t>należy stosować na wskazane miejsce.</w:t>
      </w:r>
    </w:p>
    <w:p w14:paraId="18D02B09" w14:textId="77777777" w:rsidR="0035704B" w:rsidRDefault="0035704B" w:rsidP="0035704B">
      <w:pPr>
        <w:tabs>
          <w:tab w:val="left" w:pos="0"/>
        </w:tabs>
      </w:pPr>
    </w:p>
    <w:p w14:paraId="050FC84C" w14:textId="5C0CECFA" w:rsidR="0035704B" w:rsidRDefault="0035704B" w:rsidP="0035704B">
      <w:pPr>
        <w:tabs>
          <w:tab w:val="left" w:pos="0"/>
        </w:tabs>
      </w:pPr>
      <w:r>
        <w:t xml:space="preserve">Nie należy dopuszczać, aby zwierzęta, którym ostatnio nanoszono </w:t>
      </w:r>
      <w:r w:rsidR="00800852">
        <w:t xml:space="preserve">weterynaryjny </w:t>
      </w:r>
      <w:r>
        <w:t>produkt</w:t>
      </w:r>
      <w:r w:rsidR="00800852">
        <w:t xml:space="preserve"> leczniczy</w:t>
      </w:r>
      <w:r>
        <w:t xml:space="preserve"> wzajemnie się czyściły (wylizywały). Nie należy dopuszczać aby leczone zwierzęta kontaktowały się ze zwierzętami nieleczonymi dopóki miejsce aplikacji nie wyschnie.</w:t>
      </w:r>
    </w:p>
    <w:p w14:paraId="4983BEC9" w14:textId="77777777" w:rsidR="0035704B" w:rsidRDefault="0035704B" w:rsidP="0035704B">
      <w:pPr>
        <w:tabs>
          <w:tab w:val="left" w:pos="0"/>
        </w:tabs>
      </w:pPr>
    </w:p>
    <w:p w14:paraId="5E3B012E" w14:textId="66E6A5F4" w:rsidR="0035704B" w:rsidRDefault="0035704B" w:rsidP="0035704B">
      <w:pPr>
        <w:tabs>
          <w:tab w:val="left" w:pos="0"/>
        </w:tabs>
      </w:pPr>
      <w:r>
        <w:t xml:space="preserve">Jeśli </w:t>
      </w:r>
      <w:r w:rsidR="00800852">
        <w:t xml:space="preserve">weterynaryjny </w:t>
      </w:r>
      <w:r>
        <w:t xml:space="preserve">produkt </w:t>
      </w:r>
      <w:r w:rsidR="00800852">
        <w:t xml:space="preserve">leczniczy </w:t>
      </w:r>
      <w:r>
        <w:t xml:space="preserve">jest nanoszony na 3 – 4 różne miejsca (patrz część </w:t>
      </w:r>
      <w:r w:rsidR="00800852">
        <w:t>3</w:t>
      </w:r>
      <w:r>
        <w:t xml:space="preserve">.9), należy zastosować dodatkowe zabezpieczenia uniemożliwiające zwierzętom </w:t>
      </w:r>
      <w:r w:rsidR="00F01BB9">
        <w:t xml:space="preserve">wylizywanie </w:t>
      </w:r>
      <w:r>
        <w:t xml:space="preserve">miejsc aplikacji produktu. </w:t>
      </w:r>
    </w:p>
    <w:p w14:paraId="18A92B96" w14:textId="77777777" w:rsidR="0035704B" w:rsidRDefault="0035704B" w:rsidP="0035704B">
      <w:pPr>
        <w:tabs>
          <w:tab w:val="left" w:pos="0"/>
        </w:tabs>
      </w:pPr>
    </w:p>
    <w:p w14:paraId="2CF9E638" w14:textId="512BC573" w:rsidR="0035704B" w:rsidRDefault="00800852" w:rsidP="0035704B">
      <w:pPr>
        <w:tabs>
          <w:tab w:val="left" w:pos="0"/>
        </w:tabs>
      </w:pPr>
      <w:r>
        <w:t xml:space="preserve">Weterynaryjny produkt leczniczy </w:t>
      </w:r>
      <w:r w:rsidR="0035704B">
        <w:t xml:space="preserve">zawiera moksydektynę (makrocykliczny lakton) dlatego należy dopilnować aby u psów takich ras jak owczarki Collie lub owczarek staroangielski oraz rasy pokrewne i ich krzyżówki starannie i prawidłowo nanosić </w:t>
      </w:r>
      <w:r>
        <w:t xml:space="preserve">ten weterynaryjny </w:t>
      </w:r>
      <w:r w:rsidR="0035704B">
        <w:t>produkt</w:t>
      </w:r>
      <w:r>
        <w:t xml:space="preserve"> leczniczy</w:t>
      </w:r>
      <w:r w:rsidR="0035704B">
        <w:t xml:space="preserve">, tak jak opisano to w części </w:t>
      </w:r>
      <w:r>
        <w:t>3</w:t>
      </w:r>
      <w:r w:rsidR="0035704B">
        <w:t>.9 w szczególności nie należy dopuszczać do przypadkowego połykania (zlizywania) przez owczarki Collie, owczarki staroangielskie oraz rasy pokrewne i ich krzyżówki.</w:t>
      </w:r>
    </w:p>
    <w:p w14:paraId="0202F8C0" w14:textId="77777777" w:rsidR="0035704B" w:rsidRDefault="0035704B" w:rsidP="0035704B">
      <w:pPr>
        <w:pStyle w:val="BodyText"/>
      </w:pPr>
    </w:p>
    <w:p w14:paraId="470D90C7" w14:textId="41DAB5CE" w:rsidR="0035704B" w:rsidRDefault="0035704B" w:rsidP="0035704B">
      <w:pPr>
        <w:pStyle w:val="BodyText"/>
      </w:pPr>
      <w:r>
        <w:t>Bezpieczeństwo</w:t>
      </w:r>
      <w:r w:rsidR="00800852">
        <w:t xml:space="preserve"> weterynaryjnego</w:t>
      </w:r>
      <w:r>
        <w:t xml:space="preserve"> produktu </w:t>
      </w:r>
      <w:r w:rsidR="00800852">
        <w:t xml:space="preserve">leczniczego </w:t>
      </w:r>
      <w:r>
        <w:t>było jedynie oceniane u psów zaszeregowanych do klasy 1 lub 2 nasilenia objawów robaczycy serca w badaniach laboratoryjnych oraz kilku psów klasy 3 w badaniach terenowych. Dlatego użycie</w:t>
      </w:r>
      <w:r w:rsidR="00800852">
        <w:t xml:space="preserve"> tego weterynaryjnego</w:t>
      </w:r>
      <w:r>
        <w:t xml:space="preserve"> produktu</w:t>
      </w:r>
      <w:r w:rsidR="00800852">
        <w:t xml:space="preserve"> leczniczego</w:t>
      </w:r>
      <w:r>
        <w:t xml:space="preserve"> u psów z wyraźnymi lub ciężkimi objawami choroby powinno być poparte staranną oceną </w:t>
      </w:r>
      <w:r w:rsidRPr="001842F5">
        <w:t>bilansu korzyści</w:t>
      </w:r>
      <w:r w:rsidR="002738D7">
        <w:t xml:space="preserve"> do </w:t>
      </w:r>
      <w:r w:rsidRPr="001842F5">
        <w:t xml:space="preserve">ryzyka </w:t>
      </w:r>
      <w:r>
        <w:t>przeprowadzoną przez prowadzącego lekarza weterynarii.</w:t>
      </w:r>
    </w:p>
    <w:p w14:paraId="6E77F085" w14:textId="77777777" w:rsidR="0035704B" w:rsidRDefault="0035704B" w:rsidP="0035704B"/>
    <w:p w14:paraId="0A530113" w14:textId="2C840C9C" w:rsidR="0035704B" w:rsidRDefault="0035704B" w:rsidP="0035704B">
      <w:pPr>
        <w:rPr>
          <w:snapToGrid w:val="0"/>
        </w:rPr>
      </w:pPr>
      <w:r>
        <w:rPr>
          <w:snapToGrid w:val="0"/>
        </w:rPr>
        <w:t xml:space="preserve">Pomimo, że badania przedawkowania wykazały, że </w:t>
      </w:r>
      <w:r w:rsidR="00800852">
        <w:rPr>
          <w:snapToGrid w:val="0"/>
        </w:rPr>
        <w:t xml:space="preserve">weterynaryjny produkt leczniczy </w:t>
      </w:r>
      <w:r>
        <w:rPr>
          <w:snapToGrid w:val="0"/>
        </w:rPr>
        <w:t xml:space="preserve">może być bezpiecznie podawany psom zaatakowanym przez dorosłe postaci nicieni sercowych, nie wykazuje on działania terapeutycznego na dorosłe formy </w:t>
      </w:r>
      <w:r>
        <w:rPr>
          <w:i/>
          <w:snapToGrid w:val="0"/>
        </w:rPr>
        <w:t>Dirofilaria immitis</w:t>
      </w:r>
      <w:r>
        <w:rPr>
          <w:snapToGrid w:val="0"/>
        </w:rPr>
        <w:t xml:space="preserve">. Dlatego też zaleca się, aby wszystkie psy powyżej 6 miesiąca życia, żyjące na terenach endemicznego występowania tego nicienia zostały przebadane pod kątem obecności dorosłych pasożytów wywołujących robaczycę serca </w:t>
      </w:r>
      <w:r>
        <w:rPr>
          <w:snapToGrid w:val="0"/>
          <w:u w:val="single"/>
        </w:rPr>
        <w:t>przed</w:t>
      </w:r>
      <w:r>
        <w:rPr>
          <w:snapToGrid w:val="0"/>
        </w:rPr>
        <w:t xml:space="preserve"> zastosowaniem u nich tego</w:t>
      </w:r>
      <w:r w:rsidR="00800852">
        <w:rPr>
          <w:snapToGrid w:val="0"/>
        </w:rPr>
        <w:t xml:space="preserve"> weterynaryjnego</w:t>
      </w:r>
      <w:r>
        <w:rPr>
          <w:snapToGrid w:val="0"/>
        </w:rPr>
        <w:t xml:space="preserve"> produktu</w:t>
      </w:r>
      <w:r w:rsidR="00800852">
        <w:rPr>
          <w:snapToGrid w:val="0"/>
        </w:rPr>
        <w:t xml:space="preserve"> leczniczego</w:t>
      </w:r>
      <w:r>
        <w:rPr>
          <w:snapToGrid w:val="0"/>
        </w:rPr>
        <w:t>. Zgodnie z oceną lekarza weterynarii, zarażone psy powinny zostać poddane leczeniu w celu wyeliminowania dorosłych postaci nicieni sercowych. Bezpieczeństwo</w:t>
      </w:r>
      <w:r w:rsidR="00800852">
        <w:rPr>
          <w:snapToGrid w:val="0"/>
        </w:rPr>
        <w:t xml:space="preserve"> weterynaryjnego produktu leczniczego</w:t>
      </w:r>
      <w:r>
        <w:rPr>
          <w:snapToGrid w:val="0"/>
        </w:rPr>
        <w:t xml:space="preserve"> nie było oceniane podczas stosowania w tym samym dniu, wraz z lekiem przeciwko postaciom dorosłym. </w:t>
      </w:r>
    </w:p>
    <w:p w14:paraId="2D5CF8F7" w14:textId="77777777" w:rsidR="0035704B" w:rsidRDefault="0035704B" w:rsidP="0035704B">
      <w:pPr>
        <w:rPr>
          <w:snapToGrid w:val="0"/>
        </w:rPr>
      </w:pPr>
    </w:p>
    <w:p w14:paraId="62C7E502" w14:textId="1EF60A5A" w:rsidR="0035704B" w:rsidRPr="00547634" w:rsidRDefault="007D5DD2" w:rsidP="0035704B">
      <w:r w:rsidRPr="00547634">
        <w:t>Imidaklopr</w:t>
      </w:r>
      <w:r>
        <w:t>y</w:t>
      </w:r>
      <w:r w:rsidRPr="00547634">
        <w:t xml:space="preserve">d </w:t>
      </w:r>
      <w:r w:rsidR="0035704B" w:rsidRPr="00547634">
        <w:t>jest toksyczny dla ptaków, zwłaszcza kanarków.</w:t>
      </w:r>
    </w:p>
    <w:p w14:paraId="1BE89993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45585FB0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6A5BC11F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A29779F" w14:textId="77777777" w:rsidR="00800852" w:rsidRDefault="00800852" w:rsidP="00800852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 w:rsidRPr="00C73EEA">
        <w:rPr>
          <w:rFonts w:ascii="Times New Roman" w:hAnsi="Times New Roman"/>
          <w:lang w:val="pl-PL"/>
        </w:rPr>
        <w:t xml:space="preserve">Ten weterynaryjny produkt leczniczy może powodować podrażnienie skóry, oczu lub </w:t>
      </w:r>
      <w:r>
        <w:rPr>
          <w:rFonts w:ascii="Times New Roman" w:hAnsi="Times New Roman"/>
          <w:lang w:val="pl-PL"/>
        </w:rPr>
        <w:t>ust</w:t>
      </w:r>
      <w:r w:rsidRPr="00C73EEA">
        <w:rPr>
          <w:rFonts w:ascii="Times New Roman" w:hAnsi="Times New Roman"/>
          <w:lang w:val="pl-PL"/>
        </w:rPr>
        <w:t>.</w:t>
      </w:r>
    </w:p>
    <w:p w14:paraId="13DED62C" w14:textId="4B1468B5" w:rsidR="00800852" w:rsidRDefault="00800852" w:rsidP="00800852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 xml:space="preserve">W bardzo rzadkich przypadkach weterynaryjny produkt leczniczy może powodować uczulenia skórne lub przejściowe reakcje skórne (np. drętwienie, podrażnienie lub uczucie pieczenia/ mrowienia). </w:t>
      </w:r>
    </w:p>
    <w:p w14:paraId="66CB0D6E" w14:textId="3304B0E1" w:rsidR="00800852" w:rsidRDefault="00800852" w:rsidP="00800852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bardzo rzadkich przypadkach weterynaryjny produkt leczniczy może powodować podrażnienie dróg oddechowych u osób</w:t>
      </w:r>
      <w:r w:rsidRPr="00A53A15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uczulonych.</w:t>
      </w:r>
    </w:p>
    <w:p w14:paraId="16CF1EB0" w14:textId="5FF7F250" w:rsidR="00800852" w:rsidRDefault="00800852" w:rsidP="00800852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Osoby o znanej nadwrażliwości na alkohol benzylowy, imidaklopr</w:t>
      </w:r>
      <w:r w:rsidR="007D5DD2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 xml:space="preserve">d czy moksydektynę powinny weterynaryjny </w:t>
      </w:r>
      <w:r w:rsidRPr="00362C6F">
        <w:rPr>
          <w:rFonts w:ascii="Times New Roman" w:hAnsi="Times New Roman"/>
          <w:lang w:val="pl-PL"/>
        </w:rPr>
        <w:t xml:space="preserve">produkt </w:t>
      </w:r>
      <w:r>
        <w:rPr>
          <w:rFonts w:ascii="Times New Roman" w:hAnsi="Times New Roman"/>
          <w:lang w:val="pl-PL"/>
        </w:rPr>
        <w:t xml:space="preserve">leczniczy </w:t>
      </w:r>
      <w:r w:rsidRPr="00362C6F">
        <w:rPr>
          <w:rFonts w:ascii="Times New Roman" w:hAnsi="Times New Roman"/>
          <w:lang w:val="pl-PL"/>
        </w:rPr>
        <w:t xml:space="preserve">stosować z zachowaniem </w:t>
      </w:r>
      <w:r>
        <w:rPr>
          <w:rFonts w:ascii="Times New Roman" w:hAnsi="Times New Roman"/>
          <w:lang w:val="pl-PL"/>
        </w:rPr>
        <w:t>ostrożności.</w:t>
      </w:r>
    </w:p>
    <w:p w14:paraId="364FA678" w14:textId="2CA53564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Należy unikać kontaktu </w:t>
      </w:r>
      <w:r w:rsidR="00F00D60">
        <w:rPr>
          <w:rFonts w:ascii="Times New Roman" w:hAnsi="Times New Roman"/>
          <w:lang w:val="pl-PL"/>
        </w:rPr>
        <w:t xml:space="preserve">weterynaryjnego </w:t>
      </w:r>
      <w:r>
        <w:rPr>
          <w:rFonts w:ascii="Times New Roman" w:hAnsi="Times New Roman"/>
          <w:lang w:val="pl-PL"/>
        </w:rPr>
        <w:t xml:space="preserve">produktu </w:t>
      </w:r>
      <w:r w:rsidR="00F00D60">
        <w:rPr>
          <w:rFonts w:ascii="Times New Roman" w:hAnsi="Times New Roman"/>
          <w:lang w:val="pl-PL"/>
        </w:rPr>
        <w:t xml:space="preserve">leczniczego </w:t>
      </w:r>
      <w:r>
        <w:rPr>
          <w:rFonts w:ascii="Times New Roman" w:hAnsi="Times New Roman"/>
          <w:lang w:val="pl-PL"/>
        </w:rPr>
        <w:t>ze skórą, oczami i ustami.</w:t>
      </w:r>
    </w:p>
    <w:p w14:paraId="28B20876" w14:textId="7D928FF4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trakcie nakładania </w:t>
      </w:r>
      <w:r w:rsidR="00F00D60">
        <w:rPr>
          <w:rFonts w:ascii="Times New Roman" w:hAnsi="Times New Roman"/>
          <w:lang w:val="pl-PL"/>
        </w:rPr>
        <w:t xml:space="preserve">weterynaryjnego </w:t>
      </w:r>
      <w:r>
        <w:rPr>
          <w:rFonts w:ascii="Times New Roman" w:hAnsi="Times New Roman"/>
          <w:lang w:val="pl-PL"/>
        </w:rPr>
        <w:t>produktu</w:t>
      </w:r>
      <w:r w:rsidR="00F00D60">
        <w:rPr>
          <w:rFonts w:ascii="Times New Roman" w:hAnsi="Times New Roman"/>
          <w:lang w:val="pl-PL"/>
        </w:rPr>
        <w:t xml:space="preserve"> leczniczego</w:t>
      </w:r>
      <w:r>
        <w:rPr>
          <w:rFonts w:ascii="Times New Roman" w:hAnsi="Times New Roman"/>
          <w:lang w:val="pl-PL"/>
        </w:rPr>
        <w:t xml:space="preserve"> nie należy jeść, pić, ani palić.</w:t>
      </w:r>
    </w:p>
    <w:p w14:paraId="50FB598D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 podaniu należy dokładnie umyć ręce.</w:t>
      </w:r>
    </w:p>
    <w:p w14:paraId="5AB9ED58" w14:textId="4C68771B" w:rsidR="00F00D60" w:rsidRDefault="0035704B" w:rsidP="00F00D60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Nie należy dotykać skóry zwierzęcia w miejscu aplikacji przed jej wyschnięciem.</w:t>
      </w:r>
    </w:p>
    <w:p w14:paraId="1282DBC6" w14:textId="4617DC2D" w:rsidR="0035704B" w:rsidRDefault="00F01BB9" w:rsidP="0035704B">
      <w:pPr>
        <w:pStyle w:val="NormalIndent"/>
        <w:spacing w:after="0"/>
        <w:ind w:left="0" w:firstLine="11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 przypadkowym rozlaniu na skórę</w:t>
      </w:r>
      <w:r w:rsidR="0035704B">
        <w:rPr>
          <w:rFonts w:ascii="Times New Roman" w:hAnsi="Times New Roman"/>
          <w:lang w:val="pl-PL"/>
        </w:rPr>
        <w:t xml:space="preserve">, należy natychmiast zmyć </w:t>
      </w:r>
      <w:r>
        <w:rPr>
          <w:rFonts w:ascii="Times New Roman" w:hAnsi="Times New Roman"/>
          <w:lang w:val="pl-PL"/>
        </w:rPr>
        <w:t xml:space="preserve">weterynaryjny </w:t>
      </w:r>
      <w:r w:rsidR="0035704B">
        <w:rPr>
          <w:rFonts w:ascii="Times New Roman" w:hAnsi="Times New Roman"/>
          <w:lang w:val="pl-PL"/>
        </w:rPr>
        <w:t xml:space="preserve">produkt </w:t>
      </w:r>
      <w:r>
        <w:rPr>
          <w:rFonts w:ascii="Times New Roman" w:hAnsi="Times New Roman"/>
          <w:lang w:val="pl-PL"/>
        </w:rPr>
        <w:t xml:space="preserve">leczniczy </w:t>
      </w:r>
      <w:r w:rsidR="0035704B">
        <w:rPr>
          <w:rFonts w:ascii="Times New Roman" w:hAnsi="Times New Roman"/>
          <w:lang w:val="pl-PL"/>
        </w:rPr>
        <w:t>wodą i mydłem.</w:t>
      </w:r>
    </w:p>
    <w:p w14:paraId="2CEA01F3" w14:textId="77777777" w:rsidR="00787C90" w:rsidRDefault="00787C90" w:rsidP="0035704B">
      <w:pPr>
        <w:pStyle w:val="NormalIndent"/>
        <w:spacing w:after="0"/>
        <w:ind w:left="0" w:firstLine="11"/>
        <w:jc w:val="left"/>
        <w:rPr>
          <w:rFonts w:ascii="Times New Roman" w:hAnsi="Times New Roman"/>
          <w:lang w:val="pl-PL"/>
        </w:rPr>
      </w:pPr>
    </w:p>
    <w:p w14:paraId="19F12A32" w14:textId="3B23BC1D" w:rsidR="0035704B" w:rsidRDefault="00F01BB9" w:rsidP="0035704B">
      <w:r>
        <w:t>Po przypadkowym dostaniu się weterynaryjnego</w:t>
      </w:r>
      <w:r w:rsidR="0035704B">
        <w:t xml:space="preserve"> produktu</w:t>
      </w:r>
      <w:r>
        <w:t xml:space="preserve"> leczniczego</w:t>
      </w:r>
      <w:r w:rsidR="0035704B">
        <w:t xml:space="preserve"> do oczu, należy obficie przepłukać je wodą.</w:t>
      </w:r>
    </w:p>
    <w:p w14:paraId="53EC8E03" w14:textId="0FA73CD2" w:rsidR="0035704B" w:rsidRDefault="0035704B" w:rsidP="0035704B">
      <w:pPr>
        <w:pStyle w:val="BodyText"/>
        <w:tabs>
          <w:tab w:val="left" w:pos="0"/>
        </w:tabs>
      </w:pPr>
      <w:r>
        <w:t xml:space="preserve">Jeśli podrażnienie skóry lub oczu utrzymuje się lub </w:t>
      </w:r>
      <w:r w:rsidR="003808E9">
        <w:t>po przypadkowym połknięciu weterynaryjnego produktu leczniczego</w:t>
      </w:r>
      <w:r>
        <w:t xml:space="preserve"> należy niezwłocznie zwrócić się o pomoc lekarską oraz przedstawić lekarzowi ulotkę informacyjną lub opakowanie.</w:t>
      </w:r>
    </w:p>
    <w:p w14:paraId="40654121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0780671C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640041A9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82996A3" w14:textId="4EAECF15" w:rsidR="0035704B" w:rsidRPr="00AD768B" w:rsidRDefault="00991517" w:rsidP="00C03C50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 xml:space="preserve">Weterynaryjny produkt leczniczy nie powinien się przedostawać do cieków wodnych, ponieważ </w:t>
      </w:r>
      <w:r>
        <w:t xml:space="preserve">imidaklopryd i moksydektyna </w:t>
      </w:r>
      <w:r w:rsidRPr="00BE15AB">
        <w:t>mogą być niebezpieczne dla ryb i innych organizmów wodnych.</w:t>
      </w:r>
      <w:r>
        <w:rPr>
          <w:i/>
          <w:szCs w:val="22"/>
        </w:rPr>
        <w:t xml:space="preserve"> </w:t>
      </w:r>
      <w:r w:rsidR="003808E9">
        <w:t>Psom nie powinno się pozwalać pływać w zbiornikach wodnych przed upływem 4 dni od zastosowania weterynaryjnego produktu leczniczego.</w:t>
      </w:r>
    </w:p>
    <w:p w14:paraId="3C5DD9C7" w14:textId="77777777" w:rsidR="003808E9" w:rsidRPr="00BE15AB" w:rsidRDefault="003808E9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663D65D" w14:textId="6E84E3C6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Inne środki ostrożności</w:t>
      </w:r>
      <w:r w:rsidRPr="00336FAB">
        <w:rPr>
          <w:u w:val="single"/>
        </w:rPr>
        <w:t>:</w:t>
      </w:r>
    </w:p>
    <w:p w14:paraId="13795FE6" w14:textId="77777777" w:rsidR="00F00D60" w:rsidRDefault="00F00D60" w:rsidP="00F00D60">
      <w:pPr>
        <w:tabs>
          <w:tab w:val="left" w:pos="0"/>
        </w:tabs>
      </w:pPr>
    </w:p>
    <w:p w14:paraId="2F238E4B" w14:textId="285982FF" w:rsidR="00C03C50" w:rsidRPr="00787C90" w:rsidRDefault="00F00D60" w:rsidP="00787C90">
      <w:pPr>
        <w:tabs>
          <w:tab w:val="left" w:pos="0"/>
        </w:tabs>
      </w:pPr>
      <w:r>
        <w:t xml:space="preserve">Rozpuszczalnik użyty w </w:t>
      </w:r>
      <w:r w:rsidR="003808E9">
        <w:t xml:space="preserve">weterynaryjnym produkcie leczniczym </w:t>
      </w:r>
      <w:r>
        <w:t>może plamić lub uszkadzać niektóre materiały, łącznie ze skórą, tkaninami, tworzywami sztucznymi i wykańczanymi powierzchniami. Należy pozwolić, aby miejsce podania</w:t>
      </w:r>
      <w:r w:rsidR="003808E9">
        <w:t xml:space="preserve"> weterynaryjnego</w:t>
      </w:r>
      <w:r>
        <w:t xml:space="preserve"> produktu </w:t>
      </w:r>
      <w:r w:rsidR="003808E9">
        <w:t xml:space="preserve">leczniczego </w:t>
      </w:r>
      <w:r>
        <w:t>wyschło, zanim dopuści się do jego kontaktu z takimi materiałami</w:t>
      </w:r>
      <w:r>
        <w:rPr>
          <w:snapToGrid w:val="0"/>
        </w:rPr>
        <w:t>.</w:t>
      </w:r>
    </w:p>
    <w:p w14:paraId="61E10BB0" w14:textId="77777777" w:rsidR="00F00D60" w:rsidRPr="00BE15AB" w:rsidRDefault="00F00D6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0216AB4A" w14:textId="10CFADBF" w:rsidR="00C03C50" w:rsidRPr="00BE15AB" w:rsidRDefault="00C03C50" w:rsidP="00C03C50">
      <w:pPr>
        <w:pStyle w:val="Style1"/>
      </w:pPr>
      <w:r w:rsidRPr="00BE15AB">
        <w:t>3.6</w:t>
      </w:r>
      <w:r w:rsidRPr="00BE15AB">
        <w:tab/>
      </w:r>
      <w:r w:rsidR="00463FFF">
        <w:t xml:space="preserve">Zdarzenia </w:t>
      </w:r>
      <w:r w:rsidRPr="00BE15AB">
        <w:t>niepożądane</w:t>
      </w:r>
    </w:p>
    <w:p w14:paraId="3AB5F9C5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CEA65BB" w14:textId="60DEFFBC" w:rsidR="003808E9" w:rsidRPr="00463FFF" w:rsidRDefault="003808E9" w:rsidP="00463FF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Psy</w:t>
      </w:r>
      <w:r w:rsidR="00E43952">
        <w:rPr>
          <w:szCs w:val="22"/>
        </w:rPr>
        <w:t>:</w:t>
      </w:r>
    </w:p>
    <w:p w14:paraId="774DB5C9" w14:textId="77777777" w:rsidR="003808E9" w:rsidRPr="00E927CB" w:rsidRDefault="003808E9" w:rsidP="003808E9">
      <w:pPr>
        <w:pStyle w:val="BodyText"/>
        <w:spacing w:before="4"/>
        <w:rPr>
          <w:sz w:val="26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210"/>
      </w:tblGrid>
      <w:tr w:rsidR="003808E9" w:rsidRPr="003808E9" w14:paraId="209BF16D" w14:textId="77777777" w:rsidTr="003808E9">
        <w:trPr>
          <w:trHeight w:val="760"/>
        </w:trPr>
        <w:tc>
          <w:tcPr>
            <w:tcW w:w="4140" w:type="dxa"/>
          </w:tcPr>
          <w:p w14:paraId="733A9C44" w14:textId="24434586" w:rsidR="003808E9" w:rsidRPr="003808E9" w:rsidRDefault="003808E9" w:rsidP="00AD768B">
            <w:pPr>
              <w:spacing w:before="60" w:after="60"/>
            </w:pPr>
            <w:r>
              <w:rPr>
                <w:szCs w:val="22"/>
              </w:rPr>
              <w:t xml:space="preserve">  </w:t>
            </w:r>
            <w:r w:rsidRPr="003808E9">
              <w:rPr>
                <w:szCs w:val="22"/>
              </w:rPr>
              <w:t>Często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  <w:t xml:space="preserve"> </w:t>
            </w:r>
            <w:r w:rsidRPr="003808E9">
              <w:rPr>
                <w:szCs w:val="22"/>
              </w:rPr>
              <w:t>(1 do 10 zwierząt/100 leczonych zwierząt):</w:t>
            </w:r>
          </w:p>
        </w:tc>
        <w:tc>
          <w:tcPr>
            <w:tcW w:w="5210" w:type="dxa"/>
          </w:tcPr>
          <w:p w14:paraId="2A89CD79" w14:textId="094E28A9" w:rsidR="003808E9" w:rsidRPr="00AD768B" w:rsidRDefault="003808E9" w:rsidP="006220E1">
            <w:pPr>
              <w:pStyle w:val="TableParagraph"/>
              <w:spacing w:before="1" w:line="252" w:lineRule="exact"/>
              <w:ind w:left="105"/>
              <w:rPr>
                <w:lang w:val="pl-PL"/>
              </w:rPr>
            </w:pPr>
            <w:r w:rsidRPr="00AD768B">
              <w:rPr>
                <w:lang w:val="pl-PL"/>
              </w:rPr>
              <w:t>Biegunka</w:t>
            </w:r>
            <w:r w:rsidRPr="00AD768B">
              <w:rPr>
                <w:vertAlign w:val="superscript"/>
                <w:lang w:val="pl-PL"/>
              </w:rPr>
              <w:t>1</w:t>
            </w:r>
            <w:r w:rsidRPr="00AD768B">
              <w:rPr>
                <w:lang w:val="pl-PL"/>
              </w:rPr>
              <w:t>,</w:t>
            </w:r>
            <w:r w:rsidRPr="00AD768B">
              <w:rPr>
                <w:spacing w:val="-7"/>
                <w:lang w:val="pl-PL"/>
              </w:rPr>
              <w:t xml:space="preserve"> </w:t>
            </w:r>
            <w:r w:rsidRPr="00AD768B">
              <w:rPr>
                <w:spacing w:val="-2"/>
                <w:lang w:val="pl-PL"/>
              </w:rPr>
              <w:t>wymioty</w:t>
            </w:r>
            <w:r w:rsidRPr="00AD768B">
              <w:rPr>
                <w:spacing w:val="-2"/>
                <w:vertAlign w:val="superscript"/>
                <w:lang w:val="pl-PL"/>
              </w:rPr>
              <w:t>1</w:t>
            </w:r>
          </w:p>
          <w:p w14:paraId="4DD5A056" w14:textId="2A0B0D51" w:rsidR="003808E9" w:rsidRPr="00AD768B" w:rsidRDefault="00463FFF" w:rsidP="006220E1">
            <w:pPr>
              <w:pStyle w:val="TableParagraph"/>
              <w:spacing w:line="252" w:lineRule="exact"/>
              <w:ind w:left="105" w:right="1257"/>
              <w:rPr>
                <w:lang w:val="pl-PL"/>
              </w:rPr>
            </w:pPr>
            <w:r>
              <w:rPr>
                <w:lang w:val="pl-PL"/>
              </w:rPr>
              <w:t>Kaszel</w:t>
            </w:r>
            <w:r w:rsidR="003808E9" w:rsidRPr="00AD768B">
              <w:rPr>
                <w:vertAlign w:val="superscript"/>
                <w:lang w:val="pl-PL"/>
              </w:rPr>
              <w:t>1</w:t>
            </w:r>
            <w:r w:rsidR="003808E9" w:rsidRPr="00AD768B">
              <w:rPr>
                <w:lang w:val="pl-PL"/>
              </w:rPr>
              <w:t>,</w:t>
            </w:r>
            <w:r w:rsidR="00752514">
              <w:rPr>
                <w:lang w:val="pl-PL"/>
              </w:rPr>
              <w:t xml:space="preserve"> </w:t>
            </w:r>
            <w:r>
              <w:rPr>
                <w:lang w:val="pl-PL"/>
              </w:rPr>
              <w:t>duszność</w:t>
            </w:r>
            <w:r w:rsidR="003808E9" w:rsidRPr="00AD768B">
              <w:rPr>
                <w:vertAlign w:val="superscript"/>
                <w:lang w:val="pl-PL"/>
              </w:rPr>
              <w:t>1</w:t>
            </w:r>
            <w:r w:rsidR="00752514">
              <w:rPr>
                <w:lang w:val="pl-PL"/>
              </w:rPr>
              <w:t>, przyśpieszony oddech</w:t>
            </w:r>
            <w:r w:rsidR="00752514" w:rsidRPr="00546C91">
              <w:rPr>
                <w:vertAlign w:val="superscript"/>
                <w:lang w:val="pl-PL"/>
              </w:rPr>
              <w:t>1</w:t>
            </w:r>
          </w:p>
          <w:p w14:paraId="039C5CAC" w14:textId="565668CD" w:rsidR="003808E9" w:rsidRPr="00AD768B" w:rsidRDefault="003808E9" w:rsidP="006220E1">
            <w:pPr>
              <w:pStyle w:val="TableParagraph"/>
              <w:spacing w:line="252" w:lineRule="exact"/>
              <w:ind w:left="105" w:right="1257"/>
              <w:rPr>
                <w:lang w:val="pl-PL"/>
              </w:rPr>
            </w:pPr>
            <w:r w:rsidRPr="00AD768B">
              <w:rPr>
                <w:lang w:val="pl-PL"/>
              </w:rPr>
              <w:t xml:space="preserve">Brak </w:t>
            </w:r>
            <w:r w:rsidR="00463FFF">
              <w:rPr>
                <w:lang w:val="pl-PL"/>
              </w:rPr>
              <w:t>łaknienia</w:t>
            </w:r>
            <w:r w:rsidRPr="00AD768B">
              <w:rPr>
                <w:lang w:val="pl-PL"/>
              </w:rPr>
              <w:t xml:space="preserve"> </w:t>
            </w:r>
            <w:r w:rsidRPr="00AD768B">
              <w:rPr>
                <w:vertAlign w:val="superscript"/>
                <w:lang w:val="pl-PL"/>
              </w:rPr>
              <w:t>1</w:t>
            </w:r>
            <w:r w:rsidRPr="00AD768B">
              <w:rPr>
                <w:lang w:val="pl-PL"/>
              </w:rPr>
              <w:t>, letarg</w:t>
            </w:r>
            <w:r w:rsidRPr="00AD768B">
              <w:rPr>
                <w:vertAlign w:val="superscript"/>
                <w:lang w:val="pl-PL"/>
              </w:rPr>
              <w:t>1</w:t>
            </w:r>
          </w:p>
        </w:tc>
      </w:tr>
      <w:tr w:rsidR="003808E9" w14:paraId="3901BDFE" w14:textId="77777777" w:rsidTr="00AD768B">
        <w:trPr>
          <w:trHeight w:val="760"/>
        </w:trPr>
        <w:tc>
          <w:tcPr>
            <w:tcW w:w="4140" w:type="dxa"/>
          </w:tcPr>
          <w:p w14:paraId="3FA9934A" w14:textId="77777777" w:rsidR="003808E9" w:rsidRPr="00AD768B" w:rsidRDefault="003808E9" w:rsidP="003808E9">
            <w:pPr>
              <w:pStyle w:val="TableParagraph"/>
              <w:spacing w:before="1" w:line="252" w:lineRule="exact"/>
              <w:rPr>
                <w:spacing w:val="-2"/>
                <w:lang w:val="pl-PL"/>
              </w:rPr>
            </w:pPr>
            <w:r w:rsidRPr="00AD768B">
              <w:rPr>
                <w:spacing w:val="-2"/>
                <w:lang w:val="pl-PL"/>
              </w:rPr>
              <w:t>Rzadko</w:t>
            </w:r>
          </w:p>
          <w:p w14:paraId="51A2024B" w14:textId="678454F3" w:rsidR="003808E9" w:rsidRPr="00AD768B" w:rsidRDefault="003808E9" w:rsidP="003808E9">
            <w:pPr>
              <w:pStyle w:val="TableParagraph"/>
              <w:spacing w:before="1" w:line="252" w:lineRule="exact"/>
              <w:rPr>
                <w:spacing w:val="-2"/>
                <w:lang w:val="pl-PL"/>
              </w:rPr>
            </w:pPr>
            <w:r w:rsidRPr="00AD768B">
              <w:rPr>
                <w:spacing w:val="-2"/>
                <w:lang w:val="pl-PL"/>
              </w:rPr>
              <w:t>(1 do 10 zwierząt/10 000 leczonych zwierząt):</w:t>
            </w:r>
          </w:p>
        </w:tc>
        <w:tc>
          <w:tcPr>
            <w:tcW w:w="5210" w:type="dxa"/>
          </w:tcPr>
          <w:p w14:paraId="4F3ED86D" w14:textId="49E655A0" w:rsidR="003808E9" w:rsidRPr="00E927CB" w:rsidRDefault="00463FFF" w:rsidP="006220E1">
            <w:pPr>
              <w:pStyle w:val="TableParagraph"/>
              <w:spacing w:before="1" w:line="252" w:lineRule="exact"/>
              <w:ind w:left="105"/>
            </w:pPr>
            <w:r>
              <w:t>W</w:t>
            </w:r>
            <w:r w:rsidR="003808E9">
              <w:t>ymioty</w:t>
            </w:r>
          </w:p>
        </w:tc>
      </w:tr>
      <w:tr w:rsidR="003808E9" w14:paraId="732CCB72" w14:textId="77777777" w:rsidTr="00AD768B">
        <w:trPr>
          <w:trHeight w:val="1517"/>
        </w:trPr>
        <w:tc>
          <w:tcPr>
            <w:tcW w:w="4140" w:type="dxa"/>
          </w:tcPr>
          <w:p w14:paraId="08618441" w14:textId="77777777" w:rsidR="003808E9" w:rsidRPr="00AD768B" w:rsidRDefault="003808E9" w:rsidP="003808E9">
            <w:pPr>
              <w:pStyle w:val="TableParagraph"/>
              <w:spacing w:line="250" w:lineRule="exact"/>
              <w:rPr>
                <w:lang w:val="pl-PL"/>
              </w:rPr>
            </w:pPr>
            <w:r w:rsidRPr="00AD768B">
              <w:rPr>
                <w:lang w:val="pl-PL"/>
              </w:rPr>
              <w:t>Bardzo rzadko</w:t>
            </w:r>
          </w:p>
          <w:p w14:paraId="161934E7" w14:textId="201B6E88" w:rsidR="003808E9" w:rsidRPr="00AD768B" w:rsidRDefault="003808E9" w:rsidP="003808E9">
            <w:pPr>
              <w:pStyle w:val="TableParagraph"/>
              <w:spacing w:before="1"/>
              <w:rPr>
                <w:lang w:val="pl-PL"/>
              </w:rPr>
            </w:pPr>
            <w:r w:rsidRPr="00AD768B">
              <w:rPr>
                <w:lang w:val="pl-PL"/>
              </w:rPr>
              <w:t>(&lt; 1 zwierzę/10 000 leczonych zwierząt, włączając pojedyncze raporty):</w:t>
            </w:r>
          </w:p>
        </w:tc>
        <w:tc>
          <w:tcPr>
            <w:tcW w:w="5210" w:type="dxa"/>
          </w:tcPr>
          <w:p w14:paraId="4D0F603F" w14:textId="11E8B064" w:rsidR="003808E9" w:rsidRDefault="003808E9" w:rsidP="006220E1">
            <w:pPr>
              <w:ind w:left="105"/>
            </w:pPr>
            <w:r w:rsidRPr="00AD768B">
              <w:t>Przetłuszczanie się sierści w miejscu aplikacji</w:t>
            </w:r>
            <w:r w:rsidRPr="003808E9">
              <w:rPr>
                <w:vertAlign w:val="superscript"/>
              </w:rPr>
              <w:t>2</w:t>
            </w:r>
            <w:r w:rsidRPr="003808E9">
              <w:t>,</w:t>
            </w:r>
            <w:r w:rsidRPr="003808E9">
              <w:rPr>
                <w:spacing w:val="-5"/>
              </w:rPr>
              <w:t xml:space="preserve"> </w:t>
            </w:r>
            <w:r w:rsidR="00463FFF">
              <w:t>w</w:t>
            </w:r>
            <w:r w:rsidRPr="00AD768B">
              <w:t>ypadanie włosów w miejscu aplikacji</w:t>
            </w:r>
            <w:r w:rsidRPr="003808E9">
              <w:rPr>
                <w:vertAlign w:val="superscript"/>
              </w:rPr>
              <w:t>2</w:t>
            </w:r>
            <w:r w:rsidRPr="003808E9">
              <w:t xml:space="preserve">, </w:t>
            </w:r>
            <w:r w:rsidR="00463FFF">
              <w:t>ś</w:t>
            </w:r>
            <w:r>
              <w:t>wiąd w miejscu aplikacji</w:t>
            </w:r>
            <w:r w:rsidRPr="003808E9">
              <w:rPr>
                <w:vertAlign w:val="superscript"/>
              </w:rPr>
              <w:t>2</w:t>
            </w:r>
            <w:r w:rsidRPr="003808E9">
              <w:t xml:space="preserve">, </w:t>
            </w:r>
            <w:r w:rsidR="00463FFF">
              <w:t>z</w:t>
            </w:r>
            <w:r>
              <w:t>aczerwienienie w miejscu aplikacji</w:t>
            </w:r>
            <w:r w:rsidR="00463FFF" w:rsidRPr="003808E9">
              <w:rPr>
                <w:vertAlign w:val="superscript"/>
              </w:rPr>
              <w:t>2</w:t>
            </w:r>
          </w:p>
          <w:p w14:paraId="600F4DD2" w14:textId="6171D436" w:rsidR="003808E9" w:rsidRPr="00463FFF" w:rsidRDefault="00E43952" w:rsidP="006220E1">
            <w:pPr>
              <w:ind w:left="105"/>
              <w:rPr>
                <w:vertAlign w:val="superscript"/>
              </w:rPr>
            </w:pPr>
            <w:r>
              <w:t>Zaburzenia zachowania</w:t>
            </w:r>
            <w:r w:rsidR="003808E9" w:rsidRPr="00463FFF">
              <w:t xml:space="preserve"> (</w:t>
            </w:r>
            <w:r w:rsidR="00463FFF">
              <w:t>np.</w:t>
            </w:r>
            <w:r w:rsidR="003808E9" w:rsidRPr="00463FFF">
              <w:t xml:space="preserve"> </w:t>
            </w:r>
            <w:r w:rsidR="00463FFF" w:rsidRPr="00AD768B">
              <w:t>niepokój</w:t>
            </w:r>
            <w:r w:rsidR="003808E9" w:rsidRPr="00463FFF">
              <w:t>)</w:t>
            </w:r>
            <w:r w:rsidR="003808E9" w:rsidRPr="00463FFF">
              <w:rPr>
                <w:vertAlign w:val="superscript"/>
              </w:rPr>
              <w:t>3</w:t>
            </w:r>
          </w:p>
          <w:p w14:paraId="46294B34" w14:textId="2578C30E" w:rsidR="003808E9" w:rsidRPr="00AD768B" w:rsidRDefault="003808E9" w:rsidP="006220E1">
            <w:pPr>
              <w:pStyle w:val="TableParagraph"/>
              <w:spacing w:line="252" w:lineRule="exact"/>
              <w:ind w:left="105"/>
              <w:rPr>
                <w:lang w:val="pl-PL"/>
              </w:rPr>
            </w:pPr>
            <w:r w:rsidRPr="00AD768B">
              <w:rPr>
                <w:spacing w:val="-2"/>
                <w:lang w:val="pl-PL"/>
              </w:rPr>
              <w:t>Nadmierne ślinienie się</w:t>
            </w:r>
            <w:r w:rsidRPr="00AD768B">
              <w:rPr>
                <w:spacing w:val="-2"/>
                <w:vertAlign w:val="superscript"/>
                <w:lang w:val="pl-PL"/>
              </w:rPr>
              <w:t>4</w:t>
            </w:r>
          </w:p>
          <w:p w14:paraId="3936E288" w14:textId="3E43F4EE" w:rsidR="003808E9" w:rsidRPr="00787C90" w:rsidRDefault="003808E9" w:rsidP="006220E1">
            <w:pPr>
              <w:pStyle w:val="TableParagraph"/>
              <w:spacing w:line="252" w:lineRule="exact"/>
              <w:ind w:left="105"/>
              <w:rPr>
                <w:color w:val="000000" w:themeColor="text1"/>
                <w:vertAlign w:val="superscript"/>
                <w:lang w:val="pl-PL"/>
              </w:rPr>
            </w:pPr>
            <w:r w:rsidRPr="00787C90">
              <w:rPr>
                <w:color w:val="000000" w:themeColor="text1"/>
                <w:lang w:val="pl-PL"/>
              </w:rPr>
              <w:t>Objawy neur</w:t>
            </w:r>
            <w:r w:rsidR="00463FFF" w:rsidRPr="00787C90">
              <w:rPr>
                <w:color w:val="000000" w:themeColor="text1"/>
                <w:lang w:val="pl-PL"/>
              </w:rPr>
              <w:t>o</w:t>
            </w:r>
            <w:r w:rsidRPr="00787C90">
              <w:rPr>
                <w:color w:val="000000" w:themeColor="text1"/>
                <w:lang w:val="pl-PL"/>
              </w:rPr>
              <w:t>logiczne (</w:t>
            </w:r>
            <w:r w:rsidR="00463FFF" w:rsidRPr="00787C90">
              <w:rPr>
                <w:color w:val="000000" w:themeColor="text1"/>
                <w:lang w:val="pl-PL"/>
              </w:rPr>
              <w:t>np. ataksja</w:t>
            </w:r>
            <w:r w:rsidRPr="00787C90">
              <w:rPr>
                <w:color w:val="000000" w:themeColor="text1"/>
                <w:lang w:val="pl-PL"/>
              </w:rPr>
              <w:t>,</w:t>
            </w:r>
            <w:r w:rsidR="00463FFF" w:rsidRPr="00787C90">
              <w:rPr>
                <w:color w:val="000000" w:themeColor="text1"/>
                <w:lang w:val="pl-PL"/>
              </w:rPr>
              <w:t xml:space="preserve"> drżenie mięśni</w:t>
            </w:r>
            <w:r w:rsidRPr="00787C90">
              <w:rPr>
                <w:color w:val="000000" w:themeColor="text1"/>
                <w:lang w:val="pl-PL"/>
              </w:rPr>
              <w:t>)</w:t>
            </w:r>
            <w:r w:rsidRPr="00787C90">
              <w:rPr>
                <w:color w:val="000000" w:themeColor="text1"/>
                <w:vertAlign w:val="superscript"/>
                <w:lang w:val="pl-PL"/>
              </w:rPr>
              <w:t>5</w:t>
            </w:r>
          </w:p>
          <w:p w14:paraId="636FD7FF" w14:textId="77777777" w:rsidR="003808E9" w:rsidRDefault="003808E9" w:rsidP="006220E1">
            <w:pPr>
              <w:pStyle w:val="TableParagraph"/>
              <w:spacing w:line="252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Świ</w:t>
            </w:r>
            <w:r w:rsidR="00463FFF">
              <w:rPr>
                <w:spacing w:val="-2"/>
              </w:rPr>
              <w:t>ąd</w:t>
            </w:r>
          </w:p>
          <w:p w14:paraId="099D50AE" w14:textId="79CC0160" w:rsidR="00E43952" w:rsidRPr="00E927CB" w:rsidRDefault="00E43952" w:rsidP="006220E1">
            <w:pPr>
              <w:pStyle w:val="TableParagraph"/>
              <w:spacing w:line="252" w:lineRule="exact"/>
              <w:ind w:left="105"/>
            </w:pPr>
            <w:r>
              <w:rPr>
                <w:lang w:val="pl-PL"/>
              </w:rPr>
              <w:t>B</w:t>
            </w:r>
            <w:r w:rsidRPr="00546C91">
              <w:rPr>
                <w:lang w:val="pl-PL"/>
              </w:rPr>
              <w:t>rak</w:t>
            </w:r>
            <w:r>
              <w:t xml:space="preserve"> łaknienia</w:t>
            </w:r>
            <w:r w:rsidRPr="00546C91">
              <w:rPr>
                <w:vertAlign w:val="superscript"/>
                <w:lang w:val="en-GB"/>
              </w:rPr>
              <w:t>3</w:t>
            </w:r>
            <w:r>
              <w:t xml:space="preserve">, </w:t>
            </w:r>
            <w:r>
              <w:rPr>
                <w:spacing w:val="-2"/>
                <w:lang w:val="en-GB"/>
              </w:rPr>
              <w:t>letarg</w:t>
            </w:r>
            <w:r w:rsidRPr="00AD768B">
              <w:rPr>
                <w:vertAlign w:val="superscript"/>
                <w:lang w:val="en-GB"/>
              </w:rPr>
              <w:t>3</w:t>
            </w:r>
          </w:p>
        </w:tc>
      </w:tr>
    </w:tbl>
    <w:p w14:paraId="2FA02CA8" w14:textId="64F8E0AC" w:rsidR="00463FFF" w:rsidRPr="00EA77F8" w:rsidRDefault="003808E9" w:rsidP="003808E9">
      <w:pPr>
        <w:pStyle w:val="BodyText"/>
      </w:pPr>
      <w:r w:rsidRPr="00706254">
        <w:rPr>
          <w:vertAlign w:val="superscript"/>
        </w:rPr>
        <w:t>1</w:t>
      </w:r>
      <w:r w:rsidR="00706254">
        <w:t xml:space="preserve"> </w:t>
      </w:r>
      <w:r w:rsidR="00EA77F8" w:rsidRPr="00AD768B">
        <w:t>Te objawy występują często u ps</w:t>
      </w:r>
      <w:r w:rsidR="00EA77F8">
        <w:t>ów zarażonych nicieniami sercowymi w trakcie mikrofilariemii i istnieje ryzyko wystąpienia objawów żołądkowo-jelitowych i ciężkich objawów ze strony układu oddechowego</w:t>
      </w:r>
      <w:r w:rsidR="00674EE3">
        <w:t>,</w:t>
      </w:r>
      <w:r w:rsidR="00EA77F8">
        <w:t xml:space="preserve"> które mogą wymagać szybkiej interwencji weterynaryjnej</w:t>
      </w:r>
      <w:r w:rsidR="0002555C">
        <w:t>.</w:t>
      </w:r>
    </w:p>
    <w:p w14:paraId="621FEE9F" w14:textId="59EA8AAA" w:rsidR="003808E9" w:rsidRPr="00463FFF" w:rsidRDefault="003808E9" w:rsidP="003808E9">
      <w:pPr>
        <w:pStyle w:val="BodyText"/>
        <w:spacing w:before="1" w:line="252" w:lineRule="exact"/>
        <w:rPr>
          <w:spacing w:val="-2"/>
        </w:rPr>
      </w:pPr>
      <w:r w:rsidRPr="00463FFF">
        <w:rPr>
          <w:vertAlign w:val="superscript"/>
        </w:rPr>
        <w:t>2</w:t>
      </w:r>
      <w:r w:rsidRPr="00463FFF">
        <w:rPr>
          <w:spacing w:val="12"/>
        </w:rPr>
        <w:t xml:space="preserve"> </w:t>
      </w:r>
      <w:r w:rsidR="00463FFF">
        <w:t>Objawy te ustępują samoistnie, bez dodatkowego leczenia.</w:t>
      </w:r>
    </w:p>
    <w:p w14:paraId="7E123308" w14:textId="1C081305" w:rsidR="003808E9" w:rsidRPr="00AD768B" w:rsidRDefault="003808E9" w:rsidP="00AD768B">
      <w:pPr>
        <w:pStyle w:val="BodyText"/>
        <w:spacing w:before="1" w:line="252" w:lineRule="exact"/>
      </w:pPr>
      <w:r w:rsidRPr="00463FFF">
        <w:rPr>
          <w:szCs w:val="22"/>
          <w:vertAlign w:val="superscript"/>
        </w:rPr>
        <w:t xml:space="preserve">3 </w:t>
      </w:r>
      <w:r w:rsidR="00463FFF" w:rsidRPr="00F1555D">
        <w:t>Obserwowane</w:t>
      </w:r>
      <w:r w:rsidR="00463FFF" w:rsidRPr="00137616">
        <w:t xml:space="preserve"> przejściowo i związane z odczuciem w miejscu aplikacji. </w:t>
      </w:r>
    </w:p>
    <w:p w14:paraId="21EAECF0" w14:textId="62E30872" w:rsidR="00463FFF" w:rsidRPr="00463FFF" w:rsidRDefault="003808E9" w:rsidP="00AD768B">
      <w:pPr>
        <w:pStyle w:val="BodyText"/>
        <w:spacing w:line="252" w:lineRule="exact"/>
      </w:pPr>
      <w:r w:rsidRPr="00463FFF">
        <w:rPr>
          <w:vertAlign w:val="superscript"/>
        </w:rPr>
        <w:lastRenderedPageBreak/>
        <w:t>4</w:t>
      </w:r>
      <w:r w:rsidR="00463FFF" w:rsidRPr="00AD768B">
        <w:t xml:space="preserve"> </w:t>
      </w:r>
      <w:r w:rsidR="00463FFF" w:rsidRPr="00137616">
        <w:t>Nie jest to o</w:t>
      </w:r>
      <w:r w:rsidR="00463FFF">
        <w:t>bjaw zatrucia i</w:t>
      </w:r>
      <w:r w:rsidR="00463FFF" w:rsidRPr="00F1555D">
        <w:t xml:space="preserve"> </w:t>
      </w:r>
      <w:r w:rsidR="00463FFF">
        <w:t>ustępuje samoistnie w ciągu kilku minut bez dodatkowego leczenia.</w:t>
      </w:r>
    </w:p>
    <w:p w14:paraId="3D75BC1A" w14:textId="577E5887" w:rsidR="00463FFF" w:rsidRPr="00AD768B" w:rsidRDefault="00463FFF" w:rsidP="00AD768B">
      <w:pPr>
        <w:tabs>
          <w:tab w:val="clear" w:pos="567"/>
        </w:tabs>
        <w:spacing w:line="240" w:lineRule="auto"/>
        <w:rPr>
          <w:spacing w:val="-2"/>
        </w:rPr>
      </w:pPr>
      <w:r>
        <w:t xml:space="preserve">Prawidłowa aplikacja minimalizuje możliwość wylizywania miejsca </w:t>
      </w:r>
      <w:r w:rsidR="00752514">
        <w:t>aplikacji</w:t>
      </w:r>
      <w:r>
        <w:t>.</w:t>
      </w:r>
    </w:p>
    <w:p w14:paraId="04EA6845" w14:textId="12AFAC9A" w:rsidR="003808E9" w:rsidRPr="00463FFF" w:rsidRDefault="003808E9" w:rsidP="003808E9">
      <w:pPr>
        <w:pStyle w:val="BodyText"/>
        <w:spacing w:before="1"/>
      </w:pPr>
      <w:r w:rsidRPr="00463FFF">
        <w:rPr>
          <w:vertAlign w:val="superscript"/>
        </w:rPr>
        <w:t>5</w:t>
      </w:r>
      <w:r w:rsidRPr="00463FFF">
        <w:t xml:space="preserve"> </w:t>
      </w:r>
      <w:r w:rsidR="00463FFF" w:rsidRPr="00AD768B">
        <w:t>Większość objawów neurologicznych występuj</w:t>
      </w:r>
      <w:r w:rsidR="00674EE3">
        <w:t>e</w:t>
      </w:r>
      <w:r w:rsidR="00463FFF" w:rsidRPr="00AD768B">
        <w:t xml:space="preserve"> przejściowo</w:t>
      </w:r>
      <w:r w:rsidRPr="00463FFF">
        <w:t>.</w:t>
      </w:r>
    </w:p>
    <w:p w14:paraId="0A9616EC" w14:textId="2BB0DFAD" w:rsidR="0035704B" w:rsidRDefault="0035704B" w:rsidP="00787C90"/>
    <w:p w14:paraId="21BDA1C4" w14:textId="7A771563" w:rsidR="00C03C50" w:rsidRDefault="00C03C50" w:rsidP="00C03C50">
      <w:r w:rsidRPr="00783A99">
        <w:t xml:space="preserve">Zgłaszanie </w:t>
      </w:r>
      <w:r w:rsidR="00463FFF">
        <w:t xml:space="preserve">zdarzeń </w:t>
      </w:r>
      <w:r w:rsidRPr="00783A99">
        <w:t>niepożądanych jest</w:t>
      </w:r>
      <w:r w:rsidRPr="004063BC">
        <w:t xml:space="preserve"> istotne, ponieważ umożliwia ciągłe monitorowanie bezpieczeństwa stosowania weterynaryjnego produktu leczniczego. Zgłoszenia </w:t>
      </w:r>
      <w:r w:rsidRPr="00446BA5">
        <w:t>najlepiej</w:t>
      </w:r>
      <w:r w:rsidRPr="004063BC">
        <w:t xml:space="preserve"> przesłać za pośrednictwem lekarza weterynarii </w:t>
      </w:r>
      <w:r w:rsidRPr="00D101B6">
        <w:t>do właściwych organów krajowych</w:t>
      </w:r>
      <w:r w:rsidRPr="00783A99">
        <w:t xml:space="preserve"> lub do podmiotu odpowiedzialnego</w:t>
      </w:r>
      <w:r w:rsidR="00991517" w:rsidRPr="00783A99" w:rsidDel="00991517">
        <w:t xml:space="preserve"> </w:t>
      </w:r>
      <w:r w:rsidRPr="004063BC">
        <w:t xml:space="preserve">za pośrednictwem krajowego systemu zgłaszania. Właściwe dane kontaktowe znajdują się w </w:t>
      </w:r>
      <w:r w:rsidR="00EA77F8">
        <w:t xml:space="preserve">ulotce </w:t>
      </w:r>
      <w:r w:rsidRPr="004063BC">
        <w:t>informacyjnej.</w:t>
      </w:r>
    </w:p>
    <w:p w14:paraId="02F3917C" w14:textId="77777777" w:rsidR="00C03C50" w:rsidRPr="00291744" w:rsidRDefault="00C03C50" w:rsidP="00C03C50">
      <w:pPr>
        <w:rPr>
          <w:szCs w:val="22"/>
        </w:rPr>
      </w:pPr>
    </w:p>
    <w:p w14:paraId="5520EBC8" w14:textId="77777777" w:rsidR="00C03C50" w:rsidRPr="00BE15AB" w:rsidRDefault="00C03C50" w:rsidP="00C03C50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6B02382A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BC6754E" w14:textId="4DB414FC" w:rsidR="00C03C50" w:rsidRDefault="0035704B" w:rsidP="008F28BC">
      <w:r>
        <w:rPr>
          <w:snapToGrid w:val="0"/>
        </w:rPr>
        <w:t xml:space="preserve">Bezpieczeństwo weterynaryjnego </w:t>
      </w:r>
      <w:r w:rsidR="00706254">
        <w:rPr>
          <w:snapToGrid w:val="0"/>
        </w:rPr>
        <w:t xml:space="preserve">produktu leczniczego stosowanego </w:t>
      </w:r>
      <w:r w:rsidR="008F28BC">
        <w:rPr>
          <w:snapToGrid w:val="0"/>
        </w:rPr>
        <w:t xml:space="preserve">w czasie </w:t>
      </w:r>
      <w:r>
        <w:rPr>
          <w:snapToGrid w:val="0"/>
        </w:rPr>
        <w:t xml:space="preserve">ciąży i laktacji nie </w:t>
      </w:r>
      <w:r w:rsidR="008F28BC">
        <w:rPr>
          <w:snapToGrid w:val="0"/>
        </w:rPr>
        <w:t>zostało określone</w:t>
      </w:r>
      <w:r>
        <w:rPr>
          <w:snapToGrid w:val="0"/>
        </w:rPr>
        <w:t xml:space="preserve"> u gatunków docelowych</w:t>
      </w:r>
      <w:r>
        <w:t xml:space="preserve">. </w:t>
      </w:r>
    </w:p>
    <w:p w14:paraId="45758C82" w14:textId="77777777" w:rsidR="008F28BC" w:rsidRPr="008F28BC" w:rsidRDefault="008F28BC" w:rsidP="008F28BC"/>
    <w:p w14:paraId="478F094D" w14:textId="77A2DC62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  <w:r w:rsidRPr="00F3114C">
        <w:rPr>
          <w:szCs w:val="22"/>
          <w:u w:val="single"/>
        </w:rPr>
        <w:t>Ciąża</w:t>
      </w:r>
      <w:r w:rsidR="008F28BC" w:rsidRPr="00AD768B">
        <w:rPr>
          <w:u w:val="single"/>
        </w:rPr>
        <w:t xml:space="preserve"> </w:t>
      </w:r>
      <w:r w:rsidRPr="00F3114C">
        <w:rPr>
          <w:szCs w:val="22"/>
          <w:u w:val="single"/>
        </w:rPr>
        <w:t>i laktacja</w:t>
      </w:r>
      <w:r w:rsidRPr="00336FAB">
        <w:rPr>
          <w:u w:val="single"/>
        </w:rPr>
        <w:t>:</w:t>
      </w:r>
    </w:p>
    <w:p w14:paraId="35D8CD1E" w14:textId="77777777" w:rsidR="008F28BC" w:rsidRDefault="008F28BC" w:rsidP="008F28BC">
      <w:pPr>
        <w:tabs>
          <w:tab w:val="clear" w:pos="567"/>
        </w:tabs>
        <w:spacing w:line="240" w:lineRule="auto"/>
      </w:pPr>
      <w:r w:rsidRPr="00BE15AB">
        <w:t>Nie zaleca się stosowania</w:t>
      </w:r>
      <w:r>
        <w:t xml:space="preserve"> w czasie ciąży i laktacji.</w:t>
      </w:r>
    </w:p>
    <w:p w14:paraId="5941C107" w14:textId="77777777" w:rsidR="008F28BC" w:rsidRPr="00BE15AB" w:rsidRDefault="008F28BC" w:rsidP="008F28BC">
      <w:pPr>
        <w:tabs>
          <w:tab w:val="clear" w:pos="567"/>
        </w:tabs>
        <w:spacing w:line="240" w:lineRule="auto"/>
        <w:rPr>
          <w:szCs w:val="22"/>
        </w:rPr>
      </w:pPr>
    </w:p>
    <w:p w14:paraId="4A970E2C" w14:textId="77777777" w:rsidR="008F28BC" w:rsidRPr="00BE15AB" w:rsidRDefault="008F28BC" w:rsidP="008F28BC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Płodność</w:t>
      </w:r>
      <w:r w:rsidRPr="00336FAB">
        <w:rPr>
          <w:u w:val="single"/>
        </w:rPr>
        <w:t>:</w:t>
      </w:r>
    </w:p>
    <w:p w14:paraId="200785A7" w14:textId="77777777" w:rsidR="008F28BC" w:rsidRPr="00BE15AB" w:rsidRDefault="008F28BC" w:rsidP="008F28BC">
      <w:pPr>
        <w:tabs>
          <w:tab w:val="clear" w:pos="567"/>
        </w:tabs>
        <w:spacing w:line="240" w:lineRule="auto"/>
        <w:rPr>
          <w:szCs w:val="22"/>
        </w:rPr>
      </w:pPr>
      <w:r w:rsidRPr="00BE15AB">
        <w:t>Nie stosować u zwierząt zarodowych.</w:t>
      </w:r>
    </w:p>
    <w:p w14:paraId="307EFF64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1318743A" w14:textId="77777777" w:rsidR="00C03C50" w:rsidRPr="00BE15AB" w:rsidRDefault="00C03C50" w:rsidP="00C03C50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2C2F80D4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0ADD6F3" w14:textId="1095F4CC" w:rsidR="0035704B" w:rsidRDefault="0035704B" w:rsidP="0035704B">
      <w:pPr>
        <w:pStyle w:val="StandardohneAbstand"/>
        <w:tabs>
          <w:tab w:val="clear" w:pos="72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czasie podawania </w:t>
      </w:r>
      <w:r w:rsidR="00F3114C">
        <w:rPr>
          <w:rFonts w:ascii="Times New Roman" w:hAnsi="Times New Roman"/>
          <w:lang w:val="pl-PL"/>
        </w:rPr>
        <w:t>weterynaryjnego produktu leczniczego</w:t>
      </w:r>
      <w:r>
        <w:rPr>
          <w:rFonts w:ascii="Times New Roman" w:hAnsi="Times New Roman"/>
          <w:lang w:val="pl-PL"/>
        </w:rPr>
        <w:t xml:space="preserve"> u leczonego zwierzęcia nie należy stosować innych środków przeciwpasożytniczych z grupy makrocyklicznych laktonów.</w:t>
      </w:r>
    </w:p>
    <w:p w14:paraId="481BF228" w14:textId="77777777" w:rsidR="0035704B" w:rsidRDefault="0035704B" w:rsidP="0035704B">
      <w:pPr>
        <w:pStyle w:val="StandardohneAbstand"/>
        <w:tabs>
          <w:tab w:val="clear" w:pos="720"/>
        </w:tabs>
        <w:rPr>
          <w:rFonts w:ascii="Times New Roman" w:hAnsi="Times New Roman"/>
          <w:lang w:val="pl-PL"/>
        </w:rPr>
      </w:pPr>
    </w:p>
    <w:p w14:paraId="7325C61D" w14:textId="2C02BC4A" w:rsidR="0035704B" w:rsidRDefault="0035704B" w:rsidP="0035704B">
      <w:r>
        <w:t xml:space="preserve">Nie zaobserwowano żadnych interakcji pomiędzy </w:t>
      </w:r>
      <w:r w:rsidR="00F3114C">
        <w:t xml:space="preserve">weterynaryjnym produktem leczniczym </w:t>
      </w:r>
      <w:r>
        <w:t>i najczęściej stosowanymi weterynaryjnymi</w:t>
      </w:r>
      <w:r w:rsidR="00F3114C" w:rsidRPr="00F3114C">
        <w:t xml:space="preserve"> </w:t>
      </w:r>
      <w:r w:rsidR="00F3114C">
        <w:t>produktami leczniczymi</w:t>
      </w:r>
      <w:r>
        <w:t>, ani też w czasie rutynowych zabiegów.</w:t>
      </w:r>
    </w:p>
    <w:p w14:paraId="0B2E41B9" w14:textId="77777777" w:rsidR="0035704B" w:rsidRDefault="0035704B" w:rsidP="0035704B"/>
    <w:p w14:paraId="0AE47E62" w14:textId="1409A2AA" w:rsidR="00C03C50" w:rsidRPr="00F3114C" w:rsidRDefault="0035704B" w:rsidP="00F3114C">
      <w:pPr>
        <w:rPr>
          <w:snapToGrid w:val="0"/>
        </w:rPr>
      </w:pPr>
      <w:r>
        <w:rPr>
          <w:snapToGrid w:val="0"/>
        </w:rPr>
        <w:t xml:space="preserve">Bezpieczeństwo </w:t>
      </w:r>
      <w:r w:rsidR="00F3114C">
        <w:rPr>
          <w:snapToGrid w:val="0"/>
        </w:rPr>
        <w:t>weterynaryjnego produktu leczniczego</w:t>
      </w:r>
      <w:r>
        <w:rPr>
          <w:snapToGrid w:val="0"/>
        </w:rPr>
        <w:t xml:space="preserve"> nie było oceniane podczas stosowania w tym samym dniu</w:t>
      </w:r>
      <w:r w:rsidR="0076770C">
        <w:rPr>
          <w:snapToGrid w:val="0"/>
        </w:rPr>
        <w:t xml:space="preserve"> co </w:t>
      </w:r>
      <w:r>
        <w:rPr>
          <w:snapToGrid w:val="0"/>
        </w:rPr>
        <w:t>lek przeciwko postaciom dorosłym</w:t>
      </w:r>
      <w:r w:rsidR="0076770C">
        <w:rPr>
          <w:snapToGrid w:val="0"/>
        </w:rPr>
        <w:t xml:space="preserve"> nicieni sercowych</w:t>
      </w:r>
      <w:r>
        <w:rPr>
          <w:snapToGrid w:val="0"/>
        </w:rPr>
        <w:t>.</w:t>
      </w:r>
    </w:p>
    <w:p w14:paraId="7AD13403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46C5630E" w14:textId="77777777" w:rsidR="00C03C50" w:rsidRPr="00BE15AB" w:rsidRDefault="00C03C50" w:rsidP="00C03C50">
      <w:pPr>
        <w:pStyle w:val="Style1"/>
      </w:pPr>
      <w:bookmarkStart w:id="0" w:name="_Hlk188444610"/>
      <w:r w:rsidRPr="00BE15AB">
        <w:t>3.9</w:t>
      </w:r>
      <w:r w:rsidRPr="00BE15AB">
        <w:tab/>
        <w:t>Droga podania i dawkowanie</w:t>
      </w:r>
    </w:p>
    <w:bookmarkEnd w:id="0"/>
    <w:p w14:paraId="1D75F59E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AD3E702" w14:textId="16B6235D" w:rsidR="00F3114C" w:rsidRDefault="00F3114C" w:rsidP="00C03C50">
      <w:pPr>
        <w:tabs>
          <w:tab w:val="clear" w:pos="567"/>
        </w:tabs>
        <w:spacing w:line="240" w:lineRule="auto"/>
      </w:pPr>
      <w:r w:rsidRPr="00BE15AB">
        <w:t>Aby zapewnić prawidłowe dawkowanie, należy jak najdokładniej określić masę ciała zwierzęcia.</w:t>
      </w:r>
    </w:p>
    <w:p w14:paraId="252B2243" w14:textId="77777777" w:rsidR="00F3114C" w:rsidRDefault="00F3114C" w:rsidP="00C03C50">
      <w:pPr>
        <w:tabs>
          <w:tab w:val="clear" w:pos="567"/>
        </w:tabs>
        <w:spacing w:line="240" w:lineRule="auto"/>
        <w:rPr>
          <w:szCs w:val="22"/>
        </w:rPr>
      </w:pPr>
    </w:p>
    <w:p w14:paraId="099ECA80" w14:textId="77777777" w:rsidR="0035704B" w:rsidRPr="006A70E0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b/>
          <w:bCs/>
          <w:i/>
          <w:lang w:val="pl-PL"/>
        </w:rPr>
      </w:pPr>
      <w:r w:rsidRPr="006A70E0">
        <w:rPr>
          <w:rFonts w:ascii="Times New Roman" w:hAnsi="Times New Roman"/>
          <w:b/>
          <w:bCs/>
          <w:i/>
          <w:u w:val="single"/>
          <w:lang w:val="pl-PL"/>
        </w:rPr>
        <w:t>Schemat dawkowania:</w:t>
      </w:r>
    </w:p>
    <w:p w14:paraId="2BCB56C9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32CD1F08" w14:textId="577929BA" w:rsidR="0035704B" w:rsidRPr="0098084D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Zalecana minimalna dawka to 10 mg/kg masy ciała </w:t>
      </w:r>
      <w:r w:rsidR="007D5DD2">
        <w:rPr>
          <w:rFonts w:ascii="Times New Roman" w:hAnsi="Times New Roman"/>
          <w:lang w:val="pl-PL"/>
        </w:rPr>
        <w:t xml:space="preserve">imidakloprydu </w:t>
      </w:r>
      <w:r>
        <w:rPr>
          <w:rFonts w:ascii="Times New Roman" w:hAnsi="Times New Roman"/>
          <w:lang w:val="pl-PL"/>
        </w:rPr>
        <w:t>i 2,5 mg/kg masy ciała moksydektyny, co stanowi ekwiwalent 0,1</w:t>
      </w:r>
      <w:r w:rsidR="00F3114C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ml/kg m.c. </w:t>
      </w:r>
      <w:r w:rsidR="0076770C">
        <w:rPr>
          <w:rFonts w:ascii="Times New Roman" w:hAnsi="Times New Roman"/>
          <w:lang w:val="pl-PL"/>
        </w:rPr>
        <w:t xml:space="preserve">tego </w:t>
      </w:r>
      <w:r w:rsidR="00F3114C" w:rsidRPr="0098084D">
        <w:rPr>
          <w:rFonts w:ascii="Times New Roman" w:hAnsi="Times New Roman"/>
          <w:lang w:val="pl-PL"/>
        </w:rPr>
        <w:t>weterynaryjnego produktu leczniczego</w:t>
      </w:r>
      <w:r w:rsidRPr="0098084D">
        <w:rPr>
          <w:rFonts w:ascii="Times New Roman" w:hAnsi="Times New Roman"/>
          <w:lang w:val="pl-PL"/>
        </w:rPr>
        <w:t>.</w:t>
      </w:r>
    </w:p>
    <w:p w14:paraId="022C50B9" w14:textId="77777777" w:rsidR="0035704B" w:rsidRPr="0098084D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15938D6C" w14:textId="39F21524" w:rsidR="0035704B" w:rsidRDefault="0098084D" w:rsidP="0035704B">
      <w:r w:rsidRPr="004E20AA">
        <w:t>W celu leczenia lub zapobiegania inwazji pasożytów</w:t>
      </w:r>
      <w:r>
        <w:t xml:space="preserve">, w przypadku których wskazane jest stosowanie </w:t>
      </w:r>
      <w:r w:rsidRPr="004E20AA">
        <w:t xml:space="preserve">tego </w:t>
      </w:r>
      <w:r w:rsidRPr="00EE6359">
        <w:t>weterynaryjnego</w:t>
      </w:r>
      <w:r w:rsidRPr="0098084D">
        <w:t xml:space="preserve"> </w:t>
      </w:r>
      <w:r w:rsidRPr="004E20AA">
        <w:t xml:space="preserve">produktu leczniczego, potrzeba i częstotliwość ponownego leczenia powinna opierać się na </w:t>
      </w:r>
      <w:r w:rsidRPr="0098084D">
        <w:t>profesjonalnej opinii i powinna uwzględniać lokalną sytuację epidemiologiczną i tryb życia zwierzęcia</w:t>
      </w:r>
      <w:r>
        <w:t>.</w:t>
      </w:r>
    </w:p>
    <w:p w14:paraId="50651BDA" w14:textId="77777777" w:rsidR="00787C90" w:rsidRPr="0098084D" w:rsidRDefault="00787C90" w:rsidP="0035704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224"/>
        <w:gridCol w:w="1080"/>
        <w:gridCol w:w="1545"/>
        <w:gridCol w:w="1620"/>
      </w:tblGrid>
      <w:tr w:rsidR="0035704B" w14:paraId="615EFDD7" w14:textId="77777777" w:rsidTr="00AD76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8A52C0B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Waga psa </w:t>
            </w:r>
            <w:r>
              <w:rPr>
                <w:rFonts w:ascii="Times New Roman" w:hAnsi="Times New Roman"/>
                <w:b/>
                <w:lang w:val="pl-PL"/>
              </w:rPr>
              <w:br/>
              <w:t>[kg]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3978A98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Wielkość pipetki, jakiej należy użyć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7ACD8EF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Obję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lang w:val="pl-PL"/>
                </w:rPr>
                <w:t>to</w:t>
              </w:r>
            </w:smartTag>
            <w:r>
              <w:rPr>
                <w:rFonts w:ascii="Times New Roman" w:hAnsi="Times New Roman"/>
                <w:b/>
                <w:lang w:val="pl-PL"/>
              </w:rPr>
              <w:t>ść [ml]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D0B425C" w14:textId="1721E098" w:rsidR="0035704B" w:rsidRPr="00AD768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AD768B">
              <w:rPr>
                <w:rFonts w:ascii="Times New Roman" w:hAnsi="Times New Roman"/>
                <w:b/>
                <w:lang w:val="pl-PL"/>
              </w:rPr>
              <w:t>Imidaklopr</w:t>
            </w:r>
            <w:r w:rsidR="007D5DD2" w:rsidRPr="00AD768B">
              <w:rPr>
                <w:rFonts w:ascii="Times New Roman" w:hAnsi="Times New Roman"/>
                <w:b/>
                <w:lang w:val="pl-PL"/>
              </w:rPr>
              <w:t>y</w:t>
            </w:r>
            <w:r w:rsidRPr="00AD768B">
              <w:rPr>
                <w:rFonts w:ascii="Times New Roman" w:hAnsi="Times New Roman"/>
                <w:b/>
                <w:lang w:val="pl-PL"/>
              </w:rPr>
              <w:t>d</w:t>
            </w:r>
            <w:r w:rsidRPr="00AD768B">
              <w:rPr>
                <w:rFonts w:ascii="Times New Roman" w:hAnsi="Times New Roman"/>
                <w:b/>
                <w:lang w:val="pl-PL"/>
              </w:rPr>
              <w:br/>
              <w:t>[mg/kg m.c.]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3FD8EDF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Moksydektyna</w:t>
            </w:r>
            <w:r>
              <w:rPr>
                <w:rFonts w:ascii="Times New Roman" w:hAnsi="Times New Roman"/>
                <w:b/>
                <w:lang w:val="pl-PL"/>
              </w:rPr>
              <w:br/>
              <w:t>[mg/kg m.c.]</w:t>
            </w:r>
          </w:p>
        </w:tc>
      </w:tr>
      <w:tr w:rsidR="0035704B" w14:paraId="42D0957B" w14:textId="77777777" w:rsidTr="00AD76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2A0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sym w:font="Symbol" w:char="F0A3"/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Times New Roman" w:hAnsi="Times New Roman"/>
                  <w:lang w:val="pl-PL"/>
                </w:rPr>
                <w:t>4 kg</w:t>
              </w:r>
            </w:smartTag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EB9" w14:textId="77777777" w:rsidR="0035704B" w:rsidRDefault="0035704B" w:rsidP="006220E1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napToGrid w:val="0"/>
                <w:lang w:val="pl-PL"/>
              </w:rPr>
              <w:t xml:space="preserve">Advocate dla małych psów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455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267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co najmniej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4DE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co najmniej 2,5</w:t>
            </w:r>
          </w:p>
        </w:tc>
      </w:tr>
      <w:tr w:rsidR="0035704B" w14:paraId="2CFF4E96" w14:textId="77777777" w:rsidTr="00AD76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AB0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&gt; 4–10 kg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4F5" w14:textId="77777777" w:rsidR="0035704B" w:rsidRDefault="0035704B" w:rsidP="006220E1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napToGrid w:val="0"/>
                <w:lang w:val="pl-PL"/>
              </w:rPr>
              <w:t xml:space="preserve">Advocate dla średnich psów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EBC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311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C08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6,25</w:t>
            </w:r>
          </w:p>
        </w:tc>
      </w:tr>
      <w:tr w:rsidR="0035704B" w14:paraId="0D0340FA" w14:textId="77777777" w:rsidTr="00AD76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7BF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&gt; 10–25 kg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70A0" w14:textId="77777777" w:rsidR="0035704B" w:rsidRDefault="0035704B" w:rsidP="006220E1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napToGrid w:val="0"/>
                <w:lang w:val="pl-PL"/>
              </w:rPr>
              <w:t xml:space="preserve">Advocate dla dużych psów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5BB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4F9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D94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2,5–6,25</w:t>
            </w:r>
          </w:p>
        </w:tc>
      </w:tr>
      <w:tr w:rsidR="0035704B" w14:paraId="232A6A1C" w14:textId="77777777" w:rsidTr="00AD76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41C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&gt; 25–40 kg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657" w14:textId="77777777" w:rsidR="0035704B" w:rsidRDefault="0035704B" w:rsidP="006220E1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napToGrid w:val="0"/>
                <w:lang w:val="pl-PL"/>
              </w:rPr>
              <w:t xml:space="preserve">Advocate dla bardzo dużych psów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E39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9A6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015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35704B" w14:paraId="44D355BD" w14:textId="77777777" w:rsidTr="00AD76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DE7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40 kg"/>
              </w:smartTagPr>
              <w:r>
                <w:rPr>
                  <w:rFonts w:ascii="Times New Roman" w:hAnsi="Times New Roman"/>
                  <w:lang w:val="pl-PL"/>
                </w:rPr>
                <w:t>40 kg</w:t>
              </w:r>
            </w:smartTag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690" w14:textId="77777777" w:rsidR="0035704B" w:rsidRDefault="0035704B" w:rsidP="00AD768B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highlight w:val="yellow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odpowiednia kombinacja pipetek</w:t>
            </w:r>
          </w:p>
        </w:tc>
      </w:tr>
    </w:tbl>
    <w:p w14:paraId="7A8CFE36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0E01538F" w14:textId="77777777" w:rsidR="0035704B" w:rsidRDefault="0035704B" w:rsidP="0035704B">
      <w:pPr>
        <w:outlineLvl w:val="0"/>
        <w:rPr>
          <w:i/>
          <w:u w:val="single"/>
        </w:rPr>
      </w:pPr>
      <w:r>
        <w:rPr>
          <w:i/>
          <w:u w:val="single"/>
        </w:rPr>
        <w:t>Zwalczanie i zapobieganie inwaz</w:t>
      </w:r>
      <w:r w:rsidRPr="00C64038">
        <w:rPr>
          <w:i/>
          <w:u w:val="single"/>
        </w:rPr>
        <w:t xml:space="preserve">ji pcheł </w:t>
      </w:r>
      <w:r w:rsidRPr="00C64038">
        <w:rPr>
          <w:i/>
          <w:szCs w:val="22"/>
          <w:u w:val="single"/>
        </w:rPr>
        <w:t>(Ctenocephalides felis)</w:t>
      </w:r>
    </w:p>
    <w:p w14:paraId="63EF44D4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6D30557A" w14:textId="5A9B3CDF" w:rsidR="0035704B" w:rsidRDefault="0035704B" w:rsidP="0035704B">
      <w:pPr>
        <w:pStyle w:val="BodyTextIndent2"/>
        <w:tabs>
          <w:tab w:val="clear" w:pos="567"/>
        </w:tabs>
        <w:ind w:left="0" w:firstLine="0"/>
        <w:jc w:val="left"/>
        <w:rPr>
          <w:b w:val="0"/>
        </w:rPr>
      </w:pPr>
      <w:r>
        <w:rPr>
          <w:b w:val="0"/>
        </w:rPr>
        <w:t>Jednorazowe zastosowanie</w:t>
      </w:r>
      <w:r w:rsidR="00F3114C">
        <w:rPr>
          <w:b w:val="0"/>
        </w:rPr>
        <w:t xml:space="preserve"> weterynaryjnego</w:t>
      </w:r>
      <w:r>
        <w:rPr>
          <w:b w:val="0"/>
        </w:rPr>
        <w:t xml:space="preserve"> produktu </w:t>
      </w:r>
      <w:r w:rsidR="00F3114C">
        <w:rPr>
          <w:b w:val="0"/>
        </w:rPr>
        <w:t xml:space="preserve">leczniczego </w:t>
      </w:r>
      <w:r>
        <w:rPr>
          <w:b w:val="0"/>
        </w:rPr>
        <w:t xml:space="preserve">zapobiega inwazji pcheł przez 4 tygodnie. Bytujące w otoczeniu zwierzęcia poczwarki mogą rozwinąć się w ciągu 6 tygodni od rozpoczęcia leczenia, lub nawet później, w zależności od warunków klimatycznych. Dlatego też może okazać się konieczne połączenie leczenia przy pomocy </w:t>
      </w:r>
      <w:r w:rsidR="00F3114C">
        <w:rPr>
          <w:b w:val="0"/>
        </w:rPr>
        <w:t>weterynaryjnego produktu leczniczego</w:t>
      </w:r>
      <w:r>
        <w:rPr>
          <w:b w:val="0"/>
        </w:rPr>
        <w:t xml:space="preserve"> z postępowaniem mającym na celu przerwanie cyklu życiowego pcheł w otoczeniu zwierzęcia. Spowodować </w:t>
      </w:r>
      <w:smartTag w:uri="urn:schemas-microsoft-com:office:smarttags" w:element="PersonName">
        <w:r>
          <w:rPr>
            <w:b w:val="0"/>
          </w:rPr>
          <w:t>to</w:t>
        </w:r>
      </w:smartTag>
      <w:r>
        <w:rPr>
          <w:b w:val="0"/>
        </w:rPr>
        <w:t xml:space="preserve"> może jeszcze szybsze zniszczenie populacji pcheł w gospodarstwie domowym. Jeśli </w:t>
      </w:r>
      <w:r w:rsidR="00F3114C">
        <w:rPr>
          <w:b w:val="0"/>
        </w:rPr>
        <w:t xml:space="preserve">weterynaryjny produkt leczniczy </w:t>
      </w:r>
      <w:r>
        <w:rPr>
          <w:b w:val="0"/>
        </w:rPr>
        <w:t>wykorzystywany jest jako element złożonego leczenia alergicznego pchlego zapalenia skóry, powinien być podawany odstępach miesięcznych.</w:t>
      </w:r>
    </w:p>
    <w:p w14:paraId="724C08B4" w14:textId="77777777" w:rsidR="0035704B" w:rsidRDefault="0035704B" w:rsidP="0035704B">
      <w:pPr>
        <w:pStyle w:val="BodyTextIndent2"/>
        <w:tabs>
          <w:tab w:val="clear" w:pos="567"/>
        </w:tabs>
        <w:ind w:left="0" w:firstLine="0"/>
        <w:jc w:val="left"/>
        <w:rPr>
          <w:b w:val="0"/>
        </w:rPr>
      </w:pPr>
    </w:p>
    <w:p w14:paraId="69F6C412" w14:textId="77777777" w:rsidR="0035704B" w:rsidRDefault="0035704B" w:rsidP="0035704B">
      <w:pPr>
        <w:pStyle w:val="BodyTextIndent2"/>
        <w:tabs>
          <w:tab w:val="clear" w:pos="567"/>
        </w:tabs>
        <w:ind w:left="0" w:firstLine="0"/>
        <w:jc w:val="left"/>
        <w:rPr>
          <w:b w:val="0"/>
          <w:i/>
          <w:u w:val="single"/>
        </w:rPr>
      </w:pPr>
      <w:r>
        <w:rPr>
          <w:b w:val="0"/>
          <w:i/>
          <w:u w:val="single"/>
        </w:rPr>
        <w:t>Zwalczanie wszołów (Trichodectes canis)</w:t>
      </w:r>
    </w:p>
    <w:p w14:paraId="3ACCC8EC" w14:textId="77777777" w:rsidR="0035704B" w:rsidRDefault="0035704B" w:rsidP="0035704B">
      <w:pPr>
        <w:pStyle w:val="BodyTextIndent2"/>
        <w:tabs>
          <w:tab w:val="clear" w:pos="567"/>
        </w:tabs>
        <w:ind w:left="0" w:firstLine="0"/>
        <w:jc w:val="left"/>
        <w:rPr>
          <w:b w:val="0"/>
        </w:rPr>
      </w:pPr>
    </w:p>
    <w:p w14:paraId="5D44CC2A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Należy zas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>sować pojedynczą dawkę.</w:t>
      </w:r>
      <w:r>
        <w:rPr>
          <w:b/>
          <w:lang w:val="pl-PL"/>
        </w:rPr>
        <w:t xml:space="preserve"> </w:t>
      </w:r>
      <w:r>
        <w:rPr>
          <w:rFonts w:ascii="Times New Roman" w:hAnsi="Times New Roman"/>
          <w:lang w:val="pl-PL"/>
        </w:rPr>
        <w:t>Zalecane jest przeprowadzenie po 30 dniach następnego badania ponieważ niektóre zwierzęta mogą wymagać podania drugiej dawki.</w:t>
      </w:r>
    </w:p>
    <w:p w14:paraId="33595D92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</w:p>
    <w:p w14:paraId="06677C9D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>Zwalczanie inwazji świerzbowca usznego (O</w:t>
      </w:r>
      <w:smartTag w:uri="urn:schemas-microsoft-com:office:smarttags" w:element="PersonName">
        <w:r>
          <w:rPr>
            <w:rFonts w:ascii="Times New Roman" w:hAnsi="Times New Roman"/>
            <w:i/>
            <w:u w:val="single"/>
            <w:lang w:val="pl-PL"/>
          </w:rPr>
          <w:t>to</w:t>
        </w:r>
      </w:smartTag>
      <w:r>
        <w:rPr>
          <w:rFonts w:ascii="Times New Roman" w:hAnsi="Times New Roman"/>
          <w:i/>
          <w:u w:val="single"/>
          <w:lang w:val="pl-PL"/>
        </w:rPr>
        <w:t>dectes cynotis)</w:t>
      </w:r>
    </w:p>
    <w:p w14:paraId="4B244CF4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53C33353" w14:textId="51EA6D6F" w:rsidR="0035704B" w:rsidRDefault="00F3114C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Weterynaryjny produkt leczniczy </w:t>
      </w:r>
      <w:r w:rsidR="0035704B">
        <w:rPr>
          <w:rFonts w:ascii="Times New Roman" w:hAnsi="Times New Roman"/>
          <w:lang w:val="pl-PL"/>
        </w:rPr>
        <w:t xml:space="preserve">należy podać jednokrotnie. Przed rozpoczęciem leczenia należy delikatnie usunąć zalegającą wydzielinę z zewnętrznego przewodu słuchowego. Po 30 dniach od zakończenia leczenia zalecane jest badanie kontrolne przez lekarza weterynarii, gdyż w niektórych przypadkach może okazać się konieczna ponowna kuracja. </w:t>
      </w:r>
      <w:r>
        <w:rPr>
          <w:rFonts w:ascii="Times New Roman" w:hAnsi="Times New Roman"/>
          <w:lang w:val="pl-PL"/>
        </w:rPr>
        <w:t xml:space="preserve">Weterynaryjnego produktu leczniczego </w:t>
      </w:r>
      <w:r w:rsidR="0035704B">
        <w:rPr>
          <w:rFonts w:ascii="Times New Roman" w:hAnsi="Times New Roman"/>
          <w:lang w:val="pl-PL"/>
        </w:rPr>
        <w:t xml:space="preserve">nie należy aplikować bezpośrednio do przewodu słuchowego. </w:t>
      </w:r>
    </w:p>
    <w:p w14:paraId="0294E59A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2538EE62" w14:textId="42627BD4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 xml:space="preserve">Zwalczanie świerzbowca drążącego (Sarcoptes scabiei var. </w:t>
      </w:r>
      <w:r w:rsidR="0076770C">
        <w:rPr>
          <w:rFonts w:ascii="Times New Roman" w:hAnsi="Times New Roman"/>
          <w:i/>
          <w:u w:val="single"/>
          <w:lang w:val="pl-PL"/>
        </w:rPr>
        <w:t>c</w:t>
      </w:r>
      <w:r>
        <w:rPr>
          <w:rFonts w:ascii="Times New Roman" w:hAnsi="Times New Roman"/>
          <w:i/>
          <w:u w:val="single"/>
          <w:lang w:val="pl-PL"/>
        </w:rPr>
        <w:t>anis)</w:t>
      </w:r>
    </w:p>
    <w:p w14:paraId="141DEA3E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5AAFFF53" w14:textId="6FDE24FD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Zalecane jest dwukrotne podanie </w:t>
      </w:r>
      <w:r w:rsidR="00F3114C">
        <w:rPr>
          <w:rFonts w:ascii="Times New Roman" w:hAnsi="Times New Roman"/>
          <w:lang w:val="pl-PL"/>
        </w:rPr>
        <w:t xml:space="preserve">weterynaryjnego produktu leczniczego </w:t>
      </w:r>
      <w:r>
        <w:rPr>
          <w:rFonts w:ascii="Times New Roman" w:hAnsi="Times New Roman"/>
          <w:lang w:val="pl-PL"/>
        </w:rPr>
        <w:t>w odstępie 4 tygodni.</w:t>
      </w:r>
    </w:p>
    <w:p w14:paraId="2CE2F2D6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198AD3DC" w14:textId="77777777" w:rsidR="0035704B" w:rsidRDefault="0035704B" w:rsidP="0035704B">
      <w:pPr>
        <w:pStyle w:val="BodyTextIndent2"/>
        <w:tabs>
          <w:tab w:val="clear" w:pos="567"/>
        </w:tabs>
        <w:ind w:left="0" w:firstLine="0"/>
        <w:jc w:val="left"/>
        <w:outlineLvl w:val="0"/>
        <w:rPr>
          <w:b w:val="0"/>
          <w:i/>
          <w:u w:val="single"/>
        </w:rPr>
      </w:pPr>
      <w:r>
        <w:rPr>
          <w:b w:val="0"/>
          <w:i/>
          <w:u w:val="single"/>
        </w:rPr>
        <w:t>Zwalczanie nużeńca psiego (Demodex canis)</w:t>
      </w:r>
    </w:p>
    <w:p w14:paraId="7DEE69C6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4095D323" w14:textId="0DD065E1" w:rsidR="0035704B" w:rsidRPr="00F3114C" w:rsidRDefault="0035704B" w:rsidP="0035704B">
      <w:pPr>
        <w:outlineLvl w:val="0"/>
        <w:rPr>
          <w:i/>
        </w:rPr>
      </w:pPr>
      <w:r>
        <w:t xml:space="preserve">Podanie </w:t>
      </w:r>
      <w:r w:rsidR="00F3114C">
        <w:t xml:space="preserve">weterynaryjnego produktu leczniczego </w:t>
      </w:r>
      <w:r>
        <w:t xml:space="preserve">od 2 do 4 razy w odstępie 4 tygodni jest skuteczne przeciwko </w:t>
      </w:r>
      <w:r>
        <w:rPr>
          <w:i/>
        </w:rPr>
        <w:t>Demodex canis</w:t>
      </w:r>
      <w:r w:rsidR="00F3114C">
        <w:rPr>
          <w:i/>
        </w:rPr>
        <w:t xml:space="preserve"> </w:t>
      </w:r>
      <w:r>
        <w:t>i prowadzi do znaczącej poprawy obrazu klinicznego szczególnie w łagodnych i umiarkowanych przypadkach. Przypadki szczególnie ciężkie mogą wymagać przedłużonego i częstszego s</w:t>
      </w:r>
      <w:smartTag w:uri="urn:schemas-microsoft-com:office:smarttags" w:element="PersonName">
        <w:r>
          <w:t>to</w:t>
        </w:r>
      </w:smartTag>
      <w:r>
        <w:t xml:space="preserve">sowania. Aby osiągnąć możliwie najlepszy rezultat w tego typu poważnych sytuacjach, na podstawie oceny dokonanej przez lekarza weterynarii, </w:t>
      </w:r>
      <w:r w:rsidR="00F3114C">
        <w:t xml:space="preserve">weterynaryjny produkt leczniczy </w:t>
      </w:r>
      <w:r>
        <w:t>może być podawany raz na tydzień przez długotrwały</w:t>
      </w:r>
      <w:r w:rsidR="00F3114C">
        <w:rPr>
          <w:i/>
        </w:rPr>
        <w:t xml:space="preserve"> </w:t>
      </w:r>
      <w:r>
        <w:t>okres</w:t>
      </w:r>
      <w:r w:rsidR="00787C90">
        <w:t xml:space="preserve"> </w:t>
      </w:r>
      <w:r>
        <w:t>czasu. W każdym przypadku is</w:t>
      </w:r>
      <w:smartTag w:uri="urn:schemas-microsoft-com:office:smarttags" w:element="PersonName">
        <w:r>
          <w:t>to</w:t>
        </w:r>
      </w:smartTag>
      <w:r>
        <w:t>tne jest aby leczenie kontynuować do uzyskania negatywnego</w:t>
      </w:r>
    </w:p>
    <w:p w14:paraId="4ED1AF98" w14:textId="77777777" w:rsidR="0035704B" w:rsidRDefault="0035704B" w:rsidP="0035704B">
      <w:pPr>
        <w:outlineLvl w:val="0"/>
      </w:pPr>
      <w:r>
        <w:t>wyniku badania zeskrobin skóry w okresie co najmniej dwóch kolejnych miesięcy.</w:t>
      </w:r>
    </w:p>
    <w:p w14:paraId="5D4A37CD" w14:textId="77777777" w:rsidR="0035704B" w:rsidRDefault="0035704B" w:rsidP="0035704B">
      <w:pPr>
        <w:outlineLvl w:val="0"/>
      </w:pPr>
      <w:r>
        <w:t>Leczenia należy zaprzestać w przypadku psów, u których brak jest widocznej poprawy lub gdy</w:t>
      </w:r>
    </w:p>
    <w:p w14:paraId="034BAEA9" w14:textId="77777777" w:rsidR="0035704B" w:rsidRDefault="0035704B" w:rsidP="0035704B">
      <w:pPr>
        <w:outlineLvl w:val="0"/>
      </w:pPr>
      <w:r>
        <w:t>badanie zeskrobin skóry na obecność roz</w:t>
      </w:r>
      <w:smartTag w:uri="urn:schemas-microsoft-com:office:smarttags" w:element="PersonName">
        <w:r>
          <w:t>to</w:t>
        </w:r>
      </w:smartTag>
      <w:r>
        <w:t xml:space="preserve">czy wskazuje na brak postępu po 2 miesiącach kuracji. </w:t>
      </w:r>
    </w:p>
    <w:p w14:paraId="09782E30" w14:textId="77777777" w:rsidR="0035704B" w:rsidRDefault="0035704B" w:rsidP="0035704B">
      <w:pPr>
        <w:outlineLvl w:val="0"/>
      </w:pPr>
      <w:r>
        <w:t>Należy zas</w:t>
      </w:r>
      <w:smartTag w:uri="urn:schemas-microsoft-com:office:smarttags" w:element="PersonName">
        <w:r>
          <w:t>to</w:t>
        </w:r>
      </w:smartTag>
      <w:r>
        <w:t>sować leczenie alternatywne. Właściciel powinien zasięgnąć porady lekarza weterynarii.</w:t>
      </w:r>
    </w:p>
    <w:p w14:paraId="6290A208" w14:textId="77777777" w:rsidR="0035704B" w:rsidRDefault="0035704B" w:rsidP="0035704B">
      <w:pPr>
        <w:outlineLvl w:val="0"/>
      </w:pPr>
    </w:p>
    <w:p w14:paraId="61A4FF63" w14:textId="77777777" w:rsidR="0035704B" w:rsidRDefault="0035704B" w:rsidP="0035704B">
      <w:pPr>
        <w:outlineLvl w:val="0"/>
      </w:pPr>
      <w:r>
        <w:t xml:space="preserve">Ponieważ jednak etiologia demodekozy ma charakter złożony zaleca się, jeśli </w:t>
      </w:r>
      <w:smartTag w:uri="urn:schemas-microsoft-com:office:smarttags" w:element="PersonName">
        <w:r>
          <w:t>to</w:t>
        </w:r>
      </w:smartTag>
      <w:r>
        <w:t xml:space="preserve"> możliwe, jednoczesne </w:t>
      </w:r>
    </w:p>
    <w:p w14:paraId="11E65880" w14:textId="77777777" w:rsidR="0035704B" w:rsidRDefault="0035704B" w:rsidP="0035704B">
      <w:pPr>
        <w:outlineLvl w:val="0"/>
      </w:pPr>
      <w:r>
        <w:t>leczenie choroby zasadniczej.</w:t>
      </w:r>
    </w:p>
    <w:p w14:paraId="4CDDF0AE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</w:p>
    <w:p w14:paraId="7967164E" w14:textId="77777777" w:rsidR="0035704B" w:rsidRDefault="0035704B" w:rsidP="0035704B">
      <w:pPr>
        <w:pStyle w:val="BodyTextIndent2"/>
        <w:tabs>
          <w:tab w:val="clear" w:pos="567"/>
        </w:tabs>
        <w:jc w:val="left"/>
        <w:rPr>
          <w:i/>
          <w:u w:val="single"/>
        </w:rPr>
      </w:pPr>
      <w:bookmarkStart w:id="1" w:name="_Hlk188444598"/>
      <w:r w:rsidRPr="00C242A8">
        <w:rPr>
          <w:b w:val="0"/>
          <w:i/>
          <w:u w:val="single"/>
        </w:rPr>
        <w:t>Zapobieganie robaczycy serca (D.</w:t>
      </w:r>
      <w:r w:rsidRPr="00D95FC3">
        <w:rPr>
          <w:b w:val="0"/>
          <w:i/>
          <w:u w:val="single"/>
        </w:rPr>
        <w:t xml:space="preserve"> immitis)</w:t>
      </w:r>
    </w:p>
    <w:bookmarkEnd w:id="1"/>
    <w:p w14:paraId="02CF990A" w14:textId="77777777" w:rsidR="0035704B" w:rsidRDefault="0035704B" w:rsidP="0035704B">
      <w:pPr>
        <w:pStyle w:val="NormalIndent"/>
        <w:keepNext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712EBAEB" w14:textId="5276219B" w:rsidR="0035704B" w:rsidRDefault="0035704B" w:rsidP="0035704B">
      <w:pPr>
        <w:pStyle w:val="NormalIndent"/>
        <w:keepNext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Psy bytujące na terenach endemicznych dla robaczycy serca (Dirofilarioza), lub te, które podróżowały do takich miejsc, mogą być zaatakowane przez dorosłe postaci tych pasożytów. Z tego względu </w:t>
      </w:r>
      <w:r>
        <w:rPr>
          <w:rFonts w:ascii="Times New Roman" w:hAnsi="Times New Roman"/>
          <w:u w:val="single"/>
          <w:lang w:val="pl-PL"/>
        </w:rPr>
        <w:t>przed</w:t>
      </w:r>
      <w:r>
        <w:rPr>
          <w:rFonts w:ascii="Times New Roman" w:hAnsi="Times New Roman"/>
          <w:lang w:val="pl-PL"/>
        </w:rPr>
        <w:t xml:space="preserve"> podaniem </w:t>
      </w:r>
      <w:r w:rsidR="00F3114C">
        <w:rPr>
          <w:rFonts w:ascii="Times New Roman" w:hAnsi="Times New Roman"/>
          <w:lang w:val="pl-PL"/>
        </w:rPr>
        <w:t>weterynaryjnego produktu leczniczego</w:t>
      </w:r>
      <w:r>
        <w:rPr>
          <w:rFonts w:ascii="Times New Roman" w:hAnsi="Times New Roman"/>
          <w:lang w:val="pl-PL"/>
        </w:rPr>
        <w:t xml:space="preserve">, należy rozważyć zastosowanie się do wskazówek podanych w części </w:t>
      </w:r>
      <w:r w:rsidR="00F3114C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>.5.</w:t>
      </w:r>
    </w:p>
    <w:p w14:paraId="28C5C29C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14:paraId="45C7A12E" w14:textId="24FBE95B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bookmarkStart w:id="2" w:name="_Hlk188444626"/>
      <w:r>
        <w:rPr>
          <w:rFonts w:ascii="Times New Roman" w:hAnsi="Times New Roman"/>
          <w:lang w:val="pl-PL"/>
        </w:rPr>
        <w:t xml:space="preserve">W celu zapobiegania robaczycy serca </w:t>
      </w:r>
      <w:r w:rsidR="00F3114C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 xml:space="preserve">musi być stosowany w regularnych, miesięcznych odstępach w porze występowania moskitów (żywiciela pośredniego, który przenosi larwy </w:t>
      </w:r>
      <w:r>
        <w:rPr>
          <w:rFonts w:ascii="Times New Roman" w:hAnsi="Times New Roman"/>
          <w:i/>
          <w:lang w:val="pl-PL"/>
        </w:rPr>
        <w:t xml:space="preserve">D. </w:t>
      </w:r>
      <w:r w:rsidR="007172CE">
        <w:rPr>
          <w:rFonts w:ascii="Times New Roman" w:hAnsi="Times New Roman"/>
          <w:i/>
          <w:lang w:val="pl-PL"/>
        </w:rPr>
        <w:t>immitis</w:t>
      </w:r>
      <w:r>
        <w:rPr>
          <w:rFonts w:ascii="Times New Roman" w:hAnsi="Times New Roman"/>
          <w:lang w:val="pl-PL"/>
        </w:rPr>
        <w:t xml:space="preserve">). </w:t>
      </w:r>
      <w:bookmarkEnd w:id="2"/>
      <w:r w:rsidR="00F3114C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 xml:space="preserve">można stosować w ciągu całego roku. </w:t>
      </w:r>
      <w:r w:rsidRPr="00BD4604">
        <w:rPr>
          <w:rFonts w:ascii="Times New Roman" w:hAnsi="Times New Roman"/>
          <w:lang w:val="pl-PL"/>
        </w:rPr>
        <w:t xml:space="preserve">Pierwsza dawka może być podana po pierwszym </w:t>
      </w:r>
      <w:r>
        <w:rPr>
          <w:rFonts w:ascii="Times New Roman" w:hAnsi="Times New Roman"/>
          <w:lang w:val="pl-PL"/>
        </w:rPr>
        <w:t xml:space="preserve">możliwym kontakcie z </w:t>
      </w:r>
      <w:r w:rsidRPr="00BD4604">
        <w:rPr>
          <w:rFonts w:ascii="Times New Roman" w:hAnsi="Times New Roman"/>
          <w:lang w:val="pl-PL"/>
        </w:rPr>
        <w:t>moskit</w:t>
      </w:r>
      <w:r>
        <w:rPr>
          <w:rFonts w:ascii="Times New Roman" w:hAnsi="Times New Roman"/>
          <w:lang w:val="pl-PL"/>
        </w:rPr>
        <w:t>ami</w:t>
      </w:r>
      <w:r w:rsidRPr="00BD4604">
        <w:rPr>
          <w:rFonts w:ascii="Times New Roman" w:hAnsi="Times New Roman"/>
          <w:lang w:val="pl-PL"/>
        </w:rPr>
        <w:t>, ale nie później niż miesiąc po narażeniu na ich ukąszenia</w:t>
      </w:r>
      <w:r w:rsidRPr="00223571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Leczenie powinno być kontynuowane w regularnych, </w:t>
      </w:r>
      <w:r>
        <w:rPr>
          <w:rFonts w:ascii="Times New Roman" w:hAnsi="Times New Roman"/>
          <w:lang w:val="pl-PL"/>
        </w:rPr>
        <w:lastRenderedPageBreak/>
        <w:t xml:space="preserve">comiesięcznych odstępach czasu, aż do upłynięcia miesiąca od ostatniego narażenia się na ukąszenia moskitów. Aby wdrożyć stały schemat leczenia, zaleca się wyznaczenie tego samego dnia każdego miesiąca jako dnia podawania </w:t>
      </w:r>
      <w:r w:rsidR="00F3114C">
        <w:rPr>
          <w:rFonts w:ascii="Times New Roman" w:hAnsi="Times New Roman"/>
          <w:lang w:val="pl-PL"/>
        </w:rPr>
        <w:t>weterynaryjnego produktu leczniczego</w:t>
      </w:r>
      <w:r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caps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W sytuacji zastępowania innego produktu zapobiegającego robaczycy serca w ramach programu profilaktycznego, pierwsze zastosowanie </w:t>
      </w:r>
      <w:r w:rsidR="00F3114C">
        <w:rPr>
          <w:rFonts w:ascii="Times New Roman" w:hAnsi="Times New Roman"/>
          <w:lang w:val="pl-PL"/>
        </w:rPr>
        <w:t>tego weterynaryjnego produktu leczniczego</w:t>
      </w:r>
      <w:r>
        <w:rPr>
          <w:rFonts w:ascii="Times New Roman" w:hAnsi="Times New Roman"/>
          <w:caps/>
          <w:lang w:val="pl-PL"/>
        </w:rPr>
        <w:t xml:space="preserve"> </w:t>
      </w:r>
      <w:r>
        <w:rPr>
          <w:rFonts w:ascii="Times New Roman" w:hAnsi="Times New Roman"/>
          <w:lang w:val="pl-PL"/>
        </w:rPr>
        <w:t>musi nastąpić w ciągu 1 miesiąca od podania ostatniej dawki poprzednio stosowanego środka.</w:t>
      </w:r>
    </w:p>
    <w:p w14:paraId="167F38A1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29AC46F1" w14:textId="38B9D269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terenach nie będących endemicznymi dla nicieni wywołujących robaczycę serca psy nie powinny być zagrożone ze strony tych pasożytów. Dlatego też można u nich stosować ten </w:t>
      </w:r>
      <w:r w:rsidR="00554F98">
        <w:rPr>
          <w:rFonts w:ascii="Times New Roman" w:hAnsi="Times New Roman"/>
          <w:lang w:val="pl-PL"/>
        </w:rPr>
        <w:t xml:space="preserve">weterynaryjny </w:t>
      </w:r>
      <w:r>
        <w:rPr>
          <w:rFonts w:ascii="Times New Roman" w:hAnsi="Times New Roman"/>
          <w:lang w:val="pl-PL"/>
        </w:rPr>
        <w:t xml:space="preserve">produkt </w:t>
      </w:r>
      <w:r w:rsidR="00554F98">
        <w:rPr>
          <w:rFonts w:ascii="Times New Roman" w:hAnsi="Times New Roman"/>
          <w:lang w:val="pl-PL"/>
        </w:rPr>
        <w:t xml:space="preserve">leczniczy </w:t>
      </w:r>
      <w:r>
        <w:rPr>
          <w:rFonts w:ascii="Times New Roman" w:hAnsi="Times New Roman"/>
          <w:lang w:val="pl-PL"/>
        </w:rPr>
        <w:t>bez zachowywania szczególnych środków ostrożności.</w:t>
      </w:r>
    </w:p>
    <w:p w14:paraId="512A45D8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5DC65572" w14:textId="77777777" w:rsidR="0035704B" w:rsidRDefault="0035704B" w:rsidP="0035704B">
      <w:pPr>
        <w:pStyle w:val="BodyTextIndent2"/>
        <w:tabs>
          <w:tab w:val="clear" w:pos="567"/>
        </w:tabs>
        <w:jc w:val="left"/>
        <w:rPr>
          <w:i/>
          <w:u w:val="single"/>
        </w:rPr>
      </w:pPr>
      <w:r w:rsidRPr="00C242A8">
        <w:rPr>
          <w:b w:val="0"/>
          <w:i/>
          <w:u w:val="single"/>
        </w:rPr>
        <w:t>Zapobieganie</w:t>
      </w:r>
      <w:r w:rsidRPr="00D95FC3">
        <w:rPr>
          <w:b w:val="0"/>
          <w:i/>
          <w:u w:val="single"/>
        </w:rPr>
        <w:t xml:space="preserve"> postaci skórnej dirofilariozy </w:t>
      </w:r>
      <w:r>
        <w:rPr>
          <w:b w:val="0"/>
          <w:i/>
          <w:u w:val="single"/>
        </w:rPr>
        <w:t xml:space="preserve">(fiilarie) </w:t>
      </w:r>
      <w:r w:rsidRPr="00D95FC3">
        <w:rPr>
          <w:b w:val="0"/>
          <w:i/>
          <w:u w:val="single"/>
        </w:rPr>
        <w:t>(D. repens)</w:t>
      </w:r>
    </w:p>
    <w:p w14:paraId="1CC8D86C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14:paraId="60237130" w14:textId="7CCF53D9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celu zapobiegania postaci skórnej dirofilariozy, </w:t>
      </w:r>
      <w:r w:rsidR="00554F98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>musi być stosowany w regularnych, miesięcznych odstępach w porze występowania moskitów (żywiciela pośredniego, który przenosi larwy</w:t>
      </w:r>
      <w:r>
        <w:rPr>
          <w:rFonts w:ascii="Times New Roman" w:hAnsi="Times New Roman"/>
          <w:i/>
          <w:lang w:val="pl-PL"/>
        </w:rPr>
        <w:t xml:space="preserve"> D. repens</w:t>
      </w:r>
      <w:r>
        <w:rPr>
          <w:rFonts w:ascii="Times New Roman" w:hAnsi="Times New Roman"/>
          <w:lang w:val="pl-PL"/>
        </w:rPr>
        <w:t xml:space="preserve">). </w:t>
      </w:r>
      <w:r w:rsidR="00554F98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>można stosować w ciągu całego roku lub przynajmniej na miesiąc przed pierwszym spodziewanym kontaktem z moskitami. Leczenie powinno być kontynuowane w regularnych, comiesięcznych odstępach czasu, aż do upłynięcia miesiąca od ostatniego narażenia się na ukąszenia moskitów. Aby wdrożyć stały schemat leczenia, zaleca się wyznaczenie tego samego dnia każdego miesiąca jako dnia podawania</w:t>
      </w:r>
      <w:r w:rsidR="00554F98">
        <w:rPr>
          <w:rFonts w:ascii="Times New Roman" w:hAnsi="Times New Roman"/>
          <w:lang w:val="pl-PL"/>
        </w:rPr>
        <w:t xml:space="preserve"> weterynaryjnego</w:t>
      </w:r>
      <w:r>
        <w:rPr>
          <w:rFonts w:ascii="Times New Roman" w:hAnsi="Times New Roman"/>
          <w:lang w:val="pl-PL"/>
        </w:rPr>
        <w:t xml:space="preserve"> produktu</w:t>
      </w:r>
      <w:r w:rsidR="00554F98">
        <w:rPr>
          <w:rFonts w:ascii="Times New Roman" w:hAnsi="Times New Roman"/>
          <w:lang w:val="pl-PL"/>
        </w:rPr>
        <w:t xml:space="preserve"> leczniczego</w:t>
      </w:r>
      <w:r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caps/>
          <w:lang w:val="pl-PL"/>
        </w:rPr>
        <w:t xml:space="preserve"> </w:t>
      </w:r>
    </w:p>
    <w:p w14:paraId="4ABA22FE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61DD3AF8" w14:textId="77777777" w:rsidR="0035704B" w:rsidRPr="00D95FC3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  <w:r w:rsidRPr="00D95FC3">
        <w:rPr>
          <w:rFonts w:ascii="Times New Roman" w:hAnsi="Times New Roman"/>
          <w:i/>
          <w:u w:val="single"/>
          <w:lang w:val="pl-PL"/>
        </w:rPr>
        <w:t>Zwalczanie mikrofilarii (D. immitis</w:t>
      </w:r>
      <w:r>
        <w:rPr>
          <w:rFonts w:ascii="Times New Roman" w:hAnsi="Times New Roman"/>
          <w:i/>
          <w:u w:val="single"/>
          <w:lang w:val="pl-PL"/>
        </w:rPr>
        <w:t>)</w:t>
      </w:r>
    </w:p>
    <w:p w14:paraId="7F2C2DFB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lang w:val="pl-PL"/>
        </w:rPr>
      </w:pPr>
    </w:p>
    <w:p w14:paraId="5CECF9FB" w14:textId="38D0B82C" w:rsidR="0035704B" w:rsidRDefault="00554F98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Weterynaryjny produkt leczniczy</w:t>
      </w:r>
      <w:r w:rsidR="0035704B">
        <w:rPr>
          <w:rFonts w:ascii="Times New Roman" w:hAnsi="Times New Roman"/>
          <w:lang w:val="pl-PL"/>
        </w:rPr>
        <w:t xml:space="preserve"> powinien zostać podany dwukrotnie w odstępie jednego miesiąca.</w:t>
      </w:r>
    </w:p>
    <w:p w14:paraId="0A3EFF82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2DDCD23A" w14:textId="77777777" w:rsidR="0035704B" w:rsidRDefault="0035704B" w:rsidP="0035704B">
      <w:pPr>
        <w:pStyle w:val="NormalIndent"/>
        <w:tabs>
          <w:tab w:val="left" w:pos="993"/>
        </w:tabs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  <w:r w:rsidRPr="00AA2D83">
        <w:rPr>
          <w:rFonts w:ascii="Times New Roman" w:hAnsi="Times New Roman"/>
          <w:i/>
          <w:u w:val="single"/>
          <w:lang w:val="pl-PL"/>
        </w:rPr>
        <w:t>Zwalczanie postaci skórnej dirofilariozy (filarie) (postacie</w:t>
      </w:r>
      <w:r w:rsidRPr="009201E4">
        <w:rPr>
          <w:rFonts w:ascii="Times New Roman" w:hAnsi="Times New Roman"/>
          <w:i/>
          <w:u w:val="single"/>
          <w:lang w:val="pl-PL"/>
        </w:rPr>
        <w:t xml:space="preserve"> dorosłe Dirofilaria repens)</w:t>
      </w:r>
    </w:p>
    <w:p w14:paraId="0B79D729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14:paraId="5C3FFC6F" w14:textId="3A365211" w:rsidR="0035704B" w:rsidRPr="00FE2817" w:rsidRDefault="00554F98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Weterynaryjny produkt leczniczy </w:t>
      </w:r>
      <w:r w:rsidR="0035704B">
        <w:rPr>
          <w:rFonts w:ascii="Times New Roman" w:hAnsi="Times New Roman"/>
          <w:lang w:val="pl-PL"/>
        </w:rPr>
        <w:t>powinien zostać podany sześciokrotnie w odstępie jednego miesiąca.</w:t>
      </w:r>
    </w:p>
    <w:p w14:paraId="1DC4258A" w14:textId="77777777" w:rsidR="0035704B" w:rsidRPr="00275483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08E0D23D" w14:textId="77777777" w:rsidR="0035704B" w:rsidRPr="00D95FC3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b/>
          <w:i/>
          <w:u w:val="single"/>
          <w:lang w:val="pl-PL"/>
        </w:rPr>
      </w:pPr>
      <w:r w:rsidRPr="00D95FC3">
        <w:rPr>
          <w:rFonts w:ascii="Times New Roman" w:hAnsi="Times New Roman"/>
          <w:i/>
          <w:u w:val="single"/>
          <w:lang w:val="pl-PL"/>
        </w:rPr>
        <w:t>Ograniczeni</w:t>
      </w:r>
      <w:r>
        <w:rPr>
          <w:rFonts w:ascii="Times New Roman" w:hAnsi="Times New Roman"/>
          <w:i/>
          <w:u w:val="single"/>
          <w:lang w:val="pl-PL"/>
        </w:rPr>
        <w:t>e</w:t>
      </w:r>
      <w:r w:rsidRPr="00D95FC3">
        <w:rPr>
          <w:rFonts w:ascii="Times New Roman" w:hAnsi="Times New Roman"/>
          <w:i/>
          <w:u w:val="single"/>
          <w:lang w:val="pl-PL"/>
        </w:rPr>
        <w:t xml:space="preserve"> ilości mikrofilarii </w:t>
      </w:r>
      <w:r>
        <w:rPr>
          <w:rFonts w:ascii="Times New Roman" w:hAnsi="Times New Roman"/>
          <w:i/>
          <w:u w:val="single"/>
          <w:lang w:val="pl-PL"/>
        </w:rPr>
        <w:t xml:space="preserve">(filarie) </w:t>
      </w:r>
      <w:r w:rsidRPr="00D95FC3">
        <w:rPr>
          <w:rFonts w:ascii="Times New Roman" w:hAnsi="Times New Roman"/>
          <w:b/>
          <w:i/>
          <w:u w:val="single"/>
          <w:lang w:val="pl-PL"/>
        </w:rPr>
        <w:t>(</w:t>
      </w:r>
      <w:r w:rsidRPr="00D95FC3">
        <w:rPr>
          <w:rFonts w:ascii="Times New Roman" w:hAnsi="Times New Roman"/>
          <w:i/>
          <w:u w:val="single"/>
          <w:lang w:val="pl-PL"/>
        </w:rPr>
        <w:t>D. repens</w:t>
      </w:r>
      <w:r w:rsidRPr="00D95FC3">
        <w:rPr>
          <w:rFonts w:ascii="Times New Roman" w:hAnsi="Times New Roman"/>
          <w:b/>
          <w:i/>
          <w:u w:val="single"/>
          <w:lang w:val="pl-PL"/>
        </w:rPr>
        <w:t>)</w:t>
      </w:r>
    </w:p>
    <w:p w14:paraId="33EE1CFE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b/>
          <w:i/>
          <w:lang w:val="pl-PL"/>
        </w:rPr>
      </w:pPr>
    </w:p>
    <w:p w14:paraId="50DB03E7" w14:textId="50F72719" w:rsidR="0035704B" w:rsidRDefault="00554F98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Weterynaryjny produkt leczniczy </w:t>
      </w:r>
      <w:r w:rsidR="0035704B">
        <w:rPr>
          <w:rFonts w:ascii="Times New Roman" w:hAnsi="Times New Roman"/>
          <w:lang w:val="pl-PL"/>
        </w:rPr>
        <w:t xml:space="preserve">powinien zostać podany czterokrotnie w odstępie jednego miesiąca. </w:t>
      </w:r>
    </w:p>
    <w:p w14:paraId="7D31A7A1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74F8CF36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>Zwalczanie i zapobieganie inwazji Angiostrongylus vasorum</w:t>
      </w:r>
    </w:p>
    <w:p w14:paraId="0832310C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</w:p>
    <w:p w14:paraId="08905887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Należy zas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>sować pojedynczą dawkę. Zalecane jest przeprowadzenie po 30 dniach następnego badania ponieważ niektóre zwierzęta mogą wymagać podania drugiej dawki.</w:t>
      </w:r>
    </w:p>
    <w:p w14:paraId="24A0EB3E" w14:textId="0A9CFB07" w:rsidR="0035704B" w:rsidRPr="00605E50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terenach endemicznych regularne stosowanie w odstępach miesięcznych zapobiega wystąpieniu angiostrongylozy oraz </w:t>
      </w:r>
      <w:r w:rsidR="00554F98">
        <w:rPr>
          <w:rFonts w:ascii="Times New Roman" w:hAnsi="Times New Roman"/>
          <w:lang w:val="pl-PL"/>
        </w:rPr>
        <w:t xml:space="preserve">zarażenia </w:t>
      </w:r>
      <w:r>
        <w:rPr>
          <w:rFonts w:ascii="Times New Roman" w:hAnsi="Times New Roman"/>
          <w:lang w:val="pl-PL"/>
        </w:rPr>
        <w:t xml:space="preserve">nicieniem </w:t>
      </w:r>
      <w:r w:rsidRPr="00605E50">
        <w:rPr>
          <w:rFonts w:ascii="Times New Roman" w:hAnsi="Times New Roman"/>
          <w:i/>
          <w:lang w:val="pl-PL"/>
        </w:rPr>
        <w:t>Angiostrongylus vasorum</w:t>
      </w:r>
      <w:r>
        <w:rPr>
          <w:rFonts w:ascii="Times New Roman" w:hAnsi="Times New Roman"/>
          <w:i/>
          <w:lang w:val="pl-PL"/>
        </w:rPr>
        <w:t>.</w:t>
      </w:r>
    </w:p>
    <w:p w14:paraId="4C6D65D7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1BE8CB6A" w14:textId="77777777" w:rsidR="0035704B" w:rsidRPr="00605E50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 w:rsidRPr="00605E50">
        <w:rPr>
          <w:rFonts w:ascii="Times New Roman" w:hAnsi="Times New Roman"/>
          <w:i/>
          <w:u w:val="single"/>
          <w:lang w:val="pl-PL"/>
        </w:rPr>
        <w:t>Zwalczanie inwazji Crenosoma vu</w:t>
      </w:r>
      <w:r>
        <w:rPr>
          <w:rFonts w:ascii="Times New Roman" w:hAnsi="Times New Roman"/>
          <w:i/>
          <w:u w:val="single"/>
          <w:lang w:val="pl-PL"/>
        </w:rPr>
        <w:t>lpis</w:t>
      </w:r>
    </w:p>
    <w:p w14:paraId="4CD060F9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</w:p>
    <w:p w14:paraId="71250486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Należy zas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>sować pojedynczą dawkę.</w:t>
      </w:r>
    </w:p>
    <w:p w14:paraId="342B813E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</w:p>
    <w:p w14:paraId="0409E50B" w14:textId="77777777" w:rsidR="0035704B" w:rsidRPr="00223335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 w:rsidRPr="00223335">
        <w:rPr>
          <w:rFonts w:ascii="Times New Roman" w:hAnsi="Times New Roman"/>
          <w:i/>
          <w:u w:val="single"/>
          <w:lang w:val="pl-PL"/>
        </w:rPr>
        <w:t>Zapob</w:t>
      </w:r>
      <w:r>
        <w:rPr>
          <w:rFonts w:ascii="Times New Roman" w:hAnsi="Times New Roman"/>
          <w:i/>
          <w:u w:val="single"/>
          <w:lang w:val="pl-PL"/>
        </w:rPr>
        <w:t>ieganie spirocerkozie (Spirocerca lupi)</w:t>
      </w:r>
    </w:p>
    <w:p w14:paraId="0AA48F59" w14:textId="77777777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</w:p>
    <w:p w14:paraId="661BED38" w14:textId="4357038D" w:rsidR="0035704B" w:rsidRDefault="00554F98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Weterynaryjny produkt leczniczy </w:t>
      </w:r>
      <w:r w:rsidR="0035704B">
        <w:rPr>
          <w:rFonts w:ascii="Times New Roman" w:hAnsi="Times New Roman"/>
          <w:lang w:val="pl-PL"/>
        </w:rPr>
        <w:t>należy podawać co miesiąc.</w:t>
      </w:r>
    </w:p>
    <w:p w14:paraId="58687DC5" w14:textId="77777777" w:rsidR="0035704B" w:rsidRPr="005E4229" w:rsidRDefault="0035704B" w:rsidP="00BA2D4C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</w:p>
    <w:p w14:paraId="3BADD525" w14:textId="58A53ED7" w:rsidR="0035704B" w:rsidRPr="00B6764E" w:rsidRDefault="0035704B" w:rsidP="00BA2D4C">
      <w:pPr>
        <w:pStyle w:val="NormalIndent"/>
        <w:ind w:left="0"/>
        <w:jc w:val="left"/>
        <w:outlineLvl w:val="0"/>
        <w:rPr>
          <w:rFonts w:ascii="Times New Roman" w:hAnsi="Times New Roman"/>
          <w:u w:val="single"/>
          <w:lang w:val="pl-PL"/>
        </w:rPr>
      </w:pPr>
      <w:r w:rsidRPr="0023270B">
        <w:rPr>
          <w:rFonts w:ascii="Times New Roman" w:hAnsi="Times New Roman"/>
          <w:i/>
          <w:u w:val="single"/>
          <w:lang w:val="pl-PL"/>
        </w:rPr>
        <w:t>Zwalczanie</w:t>
      </w:r>
      <w:r>
        <w:rPr>
          <w:rFonts w:ascii="Times New Roman" w:hAnsi="Times New Roman"/>
          <w:i/>
          <w:u w:val="single"/>
          <w:lang w:val="pl-PL"/>
        </w:rPr>
        <w:t xml:space="preserve"> inwazji</w:t>
      </w:r>
      <w:r w:rsidRPr="0023270B">
        <w:rPr>
          <w:rFonts w:ascii="Times New Roman" w:hAnsi="Times New Roman"/>
          <w:i/>
          <w:u w:val="single"/>
          <w:lang w:val="pl-PL"/>
        </w:rPr>
        <w:t xml:space="preserve"> Eucoleus (syn. Capillaria) boehmi (</w:t>
      </w:r>
      <w:r>
        <w:rPr>
          <w:rFonts w:ascii="Times New Roman" w:hAnsi="Times New Roman"/>
          <w:i/>
          <w:u w:val="single"/>
          <w:lang w:val="pl-PL"/>
        </w:rPr>
        <w:t>postaci dorosłe</w:t>
      </w:r>
      <w:r w:rsidRPr="0023270B">
        <w:rPr>
          <w:rFonts w:ascii="Times New Roman" w:hAnsi="Times New Roman"/>
          <w:i/>
          <w:u w:val="single"/>
          <w:lang w:val="pl-PL"/>
        </w:rPr>
        <w:t>)</w:t>
      </w:r>
      <w:r>
        <w:rPr>
          <w:rFonts w:ascii="Times New Roman" w:hAnsi="Times New Roman"/>
          <w:i/>
          <w:u w:val="single"/>
          <w:lang w:val="pl-PL"/>
        </w:rPr>
        <w:br/>
      </w:r>
      <w:r>
        <w:rPr>
          <w:rFonts w:ascii="Times New Roman" w:hAnsi="Times New Roman"/>
          <w:u w:val="single"/>
          <w:lang w:val="pl-PL"/>
        </w:rPr>
        <w:br/>
      </w:r>
      <w:r w:rsidR="00554F98">
        <w:rPr>
          <w:rFonts w:ascii="Times New Roman" w:hAnsi="Times New Roman"/>
          <w:lang w:val="pl-PL"/>
        </w:rPr>
        <w:t xml:space="preserve">Weterynaryjny produkt leczniczy </w:t>
      </w:r>
      <w:r w:rsidRPr="0023270B">
        <w:rPr>
          <w:rFonts w:ascii="Times New Roman" w:hAnsi="Times New Roman"/>
          <w:lang w:val="pl-PL"/>
        </w:rPr>
        <w:t>należy podawać co miesiąc przez dwa kolejne miesiące. W celu uniknięcia możliwego ponownego za</w:t>
      </w:r>
      <w:r w:rsidR="00AA2D83">
        <w:rPr>
          <w:rFonts w:ascii="Times New Roman" w:hAnsi="Times New Roman"/>
          <w:lang w:val="pl-PL"/>
        </w:rPr>
        <w:t>r</w:t>
      </w:r>
      <w:r w:rsidRPr="0023270B">
        <w:rPr>
          <w:rFonts w:ascii="Times New Roman" w:hAnsi="Times New Roman"/>
          <w:lang w:val="pl-PL"/>
        </w:rPr>
        <w:t>ażenia, wskazane jest, aby zapobiegać autokoprofagii pomiędzy dwoma podaniami leku.</w:t>
      </w:r>
    </w:p>
    <w:p w14:paraId="16D6B978" w14:textId="77777777" w:rsidR="0035704B" w:rsidRDefault="0035704B" w:rsidP="0035704B">
      <w:pPr>
        <w:pStyle w:val="NormalIndent"/>
        <w:ind w:left="0"/>
        <w:outlineLvl w:val="0"/>
        <w:rPr>
          <w:rFonts w:ascii="Times New Roman" w:hAnsi="Times New Roman"/>
          <w:i/>
          <w:u w:val="single"/>
          <w:lang w:val="pl-PL"/>
        </w:rPr>
      </w:pPr>
      <w:r w:rsidRPr="0023270B">
        <w:rPr>
          <w:rFonts w:ascii="Times New Roman" w:hAnsi="Times New Roman"/>
          <w:i/>
          <w:u w:val="single"/>
          <w:lang w:val="pl-PL"/>
        </w:rPr>
        <w:t xml:space="preserve">Zwalczanie </w:t>
      </w:r>
      <w:r>
        <w:rPr>
          <w:rFonts w:ascii="Times New Roman" w:hAnsi="Times New Roman"/>
          <w:i/>
          <w:u w:val="single"/>
          <w:lang w:val="pl-PL"/>
        </w:rPr>
        <w:t>nicieni ocznych</w:t>
      </w:r>
      <w:r w:rsidRPr="0023270B">
        <w:rPr>
          <w:rFonts w:ascii="Times New Roman" w:hAnsi="Times New Roman"/>
          <w:i/>
          <w:u w:val="single"/>
          <w:lang w:val="pl-PL"/>
        </w:rPr>
        <w:t xml:space="preserve"> Thelazia callipaeda (</w:t>
      </w:r>
      <w:r>
        <w:rPr>
          <w:rFonts w:ascii="Times New Roman" w:hAnsi="Times New Roman"/>
          <w:i/>
          <w:u w:val="single"/>
          <w:lang w:val="pl-PL"/>
        </w:rPr>
        <w:t>postaci dorosłe</w:t>
      </w:r>
      <w:r w:rsidRPr="0023270B">
        <w:rPr>
          <w:rFonts w:ascii="Times New Roman" w:hAnsi="Times New Roman"/>
          <w:i/>
          <w:u w:val="single"/>
          <w:lang w:val="pl-PL"/>
        </w:rPr>
        <w:t>)</w:t>
      </w:r>
    </w:p>
    <w:p w14:paraId="4695FFF1" w14:textId="21D52FB9" w:rsidR="0035704B" w:rsidRPr="00B6764E" w:rsidRDefault="0035704B" w:rsidP="0035704B">
      <w:pPr>
        <w:pStyle w:val="NormalIndent"/>
        <w:ind w:left="0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lang w:val="pl-PL"/>
        </w:rPr>
        <w:lastRenderedPageBreak/>
        <w:t>Należy zastosować pojedynczą dawkę</w:t>
      </w:r>
      <w:r w:rsidR="00AA2D83">
        <w:rPr>
          <w:rFonts w:ascii="Times New Roman" w:hAnsi="Times New Roman"/>
          <w:lang w:val="pl-PL"/>
        </w:rPr>
        <w:t xml:space="preserve"> weterynaryjnego produktu leczniczego</w:t>
      </w:r>
      <w:r>
        <w:rPr>
          <w:rFonts w:ascii="Times New Roman" w:hAnsi="Times New Roman"/>
          <w:lang w:val="pl-PL"/>
        </w:rPr>
        <w:t>.</w:t>
      </w:r>
    </w:p>
    <w:p w14:paraId="0388A81B" w14:textId="77777777" w:rsidR="0035704B" w:rsidRPr="00275483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>Zwalczanie inwazji obleńców, tęgoryjców i włosogłówki</w:t>
      </w:r>
      <w:r w:rsidRPr="00C170C0">
        <w:rPr>
          <w:rFonts w:ascii="Times New Roman" w:hAnsi="Times New Roman"/>
          <w:i/>
          <w:u w:val="single"/>
          <w:lang w:val="pl-PL"/>
        </w:rPr>
        <w:t xml:space="preserve"> </w:t>
      </w:r>
      <w:r w:rsidRPr="00C170C0">
        <w:rPr>
          <w:rFonts w:ascii="Times New Roman" w:hAnsi="Times New Roman"/>
          <w:szCs w:val="22"/>
          <w:u w:val="single"/>
          <w:lang w:val="pl-PL"/>
        </w:rPr>
        <w:t>(</w:t>
      </w:r>
      <w:r w:rsidRPr="00C170C0">
        <w:rPr>
          <w:rFonts w:ascii="Times New Roman" w:hAnsi="Times New Roman"/>
          <w:i/>
          <w:szCs w:val="22"/>
          <w:u w:val="single"/>
          <w:lang w:val="pl-PL"/>
        </w:rPr>
        <w:t>Toxocara canis, Ancylos</w:t>
      </w:r>
      <w:smartTag w:uri="urn:schemas-microsoft-com:office:smarttags" w:element="PersonName">
        <w:r w:rsidRPr="00C170C0">
          <w:rPr>
            <w:rFonts w:ascii="Times New Roman" w:hAnsi="Times New Roman"/>
            <w:i/>
            <w:szCs w:val="22"/>
            <w:u w:val="single"/>
            <w:lang w:val="pl-PL"/>
          </w:rPr>
          <w:t>to</w:t>
        </w:r>
      </w:smartTag>
      <w:r w:rsidRPr="00C170C0">
        <w:rPr>
          <w:rFonts w:ascii="Times New Roman" w:hAnsi="Times New Roman"/>
          <w:i/>
          <w:szCs w:val="22"/>
          <w:u w:val="single"/>
          <w:lang w:val="pl-PL"/>
        </w:rPr>
        <w:t>ma caninum, Uncinaria stenocephala</w:t>
      </w:r>
      <w:r w:rsidRPr="00C170C0">
        <w:rPr>
          <w:rFonts w:ascii="Times New Roman" w:hAnsi="Times New Roman"/>
          <w:szCs w:val="22"/>
          <w:u w:val="single"/>
          <w:lang w:val="pl-PL"/>
        </w:rPr>
        <w:t xml:space="preserve">, </w:t>
      </w:r>
      <w:r w:rsidRPr="00C170C0">
        <w:rPr>
          <w:rFonts w:ascii="Times New Roman" w:hAnsi="Times New Roman"/>
          <w:i/>
          <w:szCs w:val="22"/>
          <w:u w:val="single"/>
          <w:lang w:val="pl-PL"/>
        </w:rPr>
        <w:t>Toxascaris leonina</w:t>
      </w:r>
      <w:r w:rsidRPr="00C170C0">
        <w:rPr>
          <w:rFonts w:ascii="Times New Roman" w:hAnsi="Times New Roman"/>
          <w:szCs w:val="22"/>
          <w:u w:val="single"/>
          <w:lang w:val="pl-PL"/>
        </w:rPr>
        <w:t xml:space="preserve"> </w:t>
      </w:r>
      <w:r w:rsidRPr="00C170C0">
        <w:rPr>
          <w:rFonts w:ascii="Times New Roman" w:hAnsi="Times New Roman"/>
          <w:i/>
          <w:szCs w:val="22"/>
          <w:u w:val="single"/>
          <w:lang w:val="pl-PL"/>
        </w:rPr>
        <w:t>i Trichuris vulpis</w:t>
      </w:r>
      <w:r w:rsidRPr="00C170C0">
        <w:rPr>
          <w:rFonts w:ascii="Times New Roman" w:hAnsi="Times New Roman"/>
          <w:szCs w:val="22"/>
          <w:u w:val="single"/>
          <w:lang w:val="pl-PL"/>
        </w:rPr>
        <w:t>)</w:t>
      </w:r>
    </w:p>
    <w:p w14:paraId="2CA5C856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lang w:val="pl-PL"/>
        </w:rPr>
      </w:pPr>
    </w:p>
    <w:p w14:paraId="6F034B61" w14:textId="327EEEE4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terenach endemicznych dla robaczycy serca, comiesięczne stosowanie </w:t>
      </w:r>
      <w:r w:rsidR="00554F98">
        <w:rPr>
          <w:rFonts w:ascii="Times New Roman" w:hAnsi="Times New Roman"/>
          <w:lang w:val="pl-PL"/>
        </w:rPr>
        <w:t xml:space="preserve">tego weterynaryjnego produktu leczniczego </w:t>
      </w:r>
      <w:r>
        <w:rPr>
          <w:rFonts w:ascii="Times New Roman" w:hAnsi="Times New Roman"/>
          <w:lang w:val="pl-PL"/>
        </w:rPr>
        <w:t xml:space="preserve">może znacząco ograniczyć ryzyko ponownej </w:t>
      </w:r>
      <w:r w:rsidR="00554F98">
        <w:rPr>
          <w:rFonts w:ascii="Times New Roman" w:hAnsi="Times New Roman"/>
          <w:lang w:val="pl-PL"/>
        </w:rPr>
        <w:t xml:space="preserve">inwazji </w:t>
      </w:r>
      <w:r>
        <w:rPr>
          <w:rFonts w:ascii="Times New Roman" w:hAnsi="Times New Roman"/>
          <w:lang w:val="pl-PL"/>
        </w:rPr>
        <w:t xml:space="preserve">spowodowanej zarówno przez obleńce, tęgoryjce jak i włosogłówki. Na terenach nie będących endemicznymi dla nicieni wywołujących robaczycę serca, </w:t>
      </w:r>
      <w:r w:rsidR="00554F98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>może być stosowany jako element sezonowego programu profilaktycznego skierowanego przeciwko pchłom i nicieniom żołądkowo-jelitowym.</w:t>
      </w:r>
    </w:p>
    <w:p w14:paraId="6C6FB4A8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14:paraId="14728AF1" w14:textId="4A9F6A42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 xml:space="preserve">Badania wykazały, że comiesięczne stosowanie </w:t>
      </w:r>
      <w:r w:rsidR="00554F98">
        <w:rPr>
          <w:rFonts w:ascii="Times New Roman" w:hAnsi="Times New Roman"/>
          <w:lang w:val="pl-PL"/>
        </w:rPr>
        <w:t xml:space="preserve">weterynaryjnego produktu leczniczego </w:t>
      </w:r>
      <w:r>
        <w:rPr>
          <w:rFonts w:ascii="Times New Roman" w:hAnsi="Times New Roman"/>
          <w:lang w:val="pl-PL"/>
        </w:rPr>
        <w:t xml:space="preserve">u psów zapobiega inwazji </w:t>
      </w:r>
      <w:r>
        <w:rPr>
          <w:rFonts w:ascii="Times New Roman" w:hAnsi="Times New Roman"/>
          <w:i/>
          <w:lang w:val="pl-PL"/>
        </w:rPr>
        <w:t>Uncinaria stenocephala.</w:t>
      </w:r>
    </w:p>
    <w:p w14:paraId="09490769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14:paraId="51AE020A" w14:textId="77777777" w:rsidR="0035704B" w:rsidRPr="006A70E0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b/>
          <w:bCs/>
          <w:i/>
          <w:u w:val="single"/>
          <w:lang w:val="pl-PL"/>
        </w:rPr>
      </w:pPr>
      <w:r w:rsidRPr="006A70E0">
        <w:rPr>
          <w:rFonts w:ascii="Times New Roman" w:hAnsi="Times New Roman"/>
          <w:b/>
          <w:bCs/>
          <w:i/>
          <w:u w:val="single"/>
          <w:lang w:val="pl-PL"/>
        </w:rPr>
        <w:t>Droga podania</w:t>
      </w:r>
    </w:p>
    <w:p w14:paraId="1B910AA2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i/>
          <w:lang w:val="pl-PL"/>
        </w:rPr>
      </w:pPr>
    </w:p>
    <w:p w14:paraId="2651A9E4" w14:textId="60BC401D" w:rsidR="0035704B" w:rsidRDefault="00554F98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Podanie zewnętrzne</w:t>
      </w:r>
      <w:r w:rsidR="0035704B">
        <w:rPr>
          <w:rFonts w:ascii="Times New Roman" w:hAnsi="Times New Roman"/>
          <w:lang w:val="pl-PL"/>
        </w:rPr>
        <w:t>.</w:t>
      </w:r>
    </w:p>
    <w:p w14:paraId="25EF5CC8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6AC72D09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Oddziel jedną pipetkę od opakowania. Trzymając pipetkę w pozycji pionowej, końcówką do góry, przekręć i zdejmij końcówkę. Odwróć końcówkę i umieść drugim końcem na pipetce. Przekręć końcówkę, aby przebić zamknięcie, po czym zdejmij końcówkę z pipetki, jak pokazano na rysunku.</w:t>
      </w:r>
    </w:p>
    <w:p w14:paraId="76179DF0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03130125" w14:textId="1FEE6C70" w:rsidR="0035704B" w:rsidRPr="00A543EE" w:rsidRDefault="0035704B" w:rsidP="0035704B">
      <w:pPr>
        <w:pStyle w:val="NormalIndent"/>
        <w:spacing w:after="0"/>
        <w:ind w:left="0"/>
        <w:jc w:val="center"/>
        <w:rPr>
          <w:noProof/>
          <w:lang w:val="pl-PL" w:eastAsia="de-DE"/>
        </w:rPr>
      </w:pPr>
      <w:r w:rsidRPr="007E0908">
        <w:rPr>
          <w:noProof/>
          <w:lang w:val="pl-PL" w:eastAsia="pl-PL"/>
        </w:rPr>
        <w:drawing>
          <wp:inline distT="0" distB="0" distL="0" distR="0" wp14:anchorId="308BB67B" wp14:editId="4BD0AFA0">
            <wp:extent cx="628650" cy="1123950"/>
            <wp:effectExtent l="0" t="0" r="0" b="0"/>
            <wp:docPr id="1713623904" name="Picture 8" descr="A close-up of a hand holding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23904" name="Picture 8" descr="A close-up of a hand holding a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3EE">
        <w:rPr>
          <w:noProof/>
          <w:lang w:val="pl-PL" w:eastAsia="de-DE"/>
        </w:rPr>
        <w:t xml:space="preserve"> </w:t>
      </w:r>
      <w:r w:rsidRPr="007E0908">
        <w:rPr>
          <w:noProof/>
          <w:lang w:val="pl-PL" w:eastAsia="pl-PL"/>
        </w:rPr>
        <w:drawing>
          <wp:inline distT="0" distB="0" distL="0" distR="0" wp14:anchorId="7AE46BD7" wp14:editId="157CE63C">
            <wp:extent cx="641350" cy="1104900"/>
            <wp:effectExtent l="0" t="0" r="6350" b="0"/>
            <wp:docPr id="813781926" name="Picture 7" descr="A close-up of a hand holding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81926" name="Picture 7" descr="A close-up of a hand holding a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3EE">
        <w:rPr>
          <w:noProof/>
          <w:lang w:val="pl-PL" w:eastAsia="de-DE"/>
        </w:rPr>
        <w:t xml:space="preserve"> </w:t>
      </w:r>
      <w:r w:rsidRPr="007E0908">
        <w:rPr>
          <w:noProof/>
          <w:lang w:val="pl-PL" w:eastAsia="pl-PL"/>
        </w:rPr>
        <w:drawing>
          <wp:inline distT="0" distB="0" distL="0" distR="0" wp14:anchorId="280A0B2C" wp14:editId="2C46FDD1">
            <wp:extent cx="723900" cy="1162050"/>
            <wp:effectExtent l="0" t="0" r="0" b="0"/>
            <wp:docPr id="1434993899" name="Picture 6" descr="A close-up of hands holding a screwd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93899" name="Picture 6" descr="A close-up of hands holding a screwdri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8CC9" w14:textId="77777777" w:rsidR="0035704B" w:rsidRDefault="0035704B" w:rsidP="0035704B">
      <w:pPr>
        <w:pStyle w:val="NormalIndent"/>
        <w:spacing w:after="0"/>
        <w:ind w:left="0"/>
        <w:rPr>
          <w:rFonts w:ascii="Times New Roman" w:hAnsi="Times New Roman"/>
          <w:u w:val="single"/>
          <w:lang w:val="pl-PL"/>
        </w:rPr>
      </w:pPr>
    </w:p>
    <w:p w14:paraId="5468B22B" w14:textId="77777777" w:rsidR="0035704B" w:rsidRPr="004118E0" w:rsidRDefault="0035704B" w:rsidP="004118E0">
      <w:pPr>
        <w:pStyle w:val="NoSpacing"/>
        <w:rPr>
          <w:u w:val="single"/>
        </w:rPr>
      </w:pPr>
      <w:r w:rsidRPr="004118E0">
        <w:rPr>
          <w:u w:val="single"/>
        </w:rPr>
        <w:t>Dla psów o masie ciała do 25 kg:</w:t>
      </w:r>
    </w:p>
    <w:p w14:paraId="38212048" w14:textId="424D3E89" w:rsidR="0035704B" w:rsidRPr="00787C90" w:rsidRDefault="00000000" w:rsidP="00787C90">
      <w:pPr>
        <w:pStyle w:val="NormalIndent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</w:rPr>
        <w:object w:dxaOrig="1440" w:dyaOrig="1440" w14:anchorId="798E7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5.5pt;margin-top:41.3pt;width:103.1pt;height:136.8pt;z-index:251663360">
            <v:imagedata r:id="rId14" o:title=""/>
            <w10:wrap type="topAndBottom"/>
          </v:shape>
          <o:OLEObject Type="Embed" ProgID="PBrush" ShapeID="_x0000_s1028" DrawAspect="Content" ObjectID="_1807450951" r:id="rId15"/>
        </w:object>
      </w:r>
      <w:r w:rsidR="0035704B">
        <w:rPr>
          <w:rFonts w:ascii="Times New Roman" w:hAnsi="Times New Roman"/>
          <w:lang w:val="pl-PL"/>
        </w:rPr>
        <w:t>S</w:t>
      </w:r>
      <w:smartTag w:uri="urn:schemas-microsoft-com:office:smarttags" w:element="PersonName">
        <w:r w:rsidR="0035704B">
          <w:rPr>
            <w:rFonts w:ascii="Times New Roman" w:hAnsi="Times New Roman"/>
            <w:lang w:val="pl-PL"/>
          </w:rPr>
          <w:t>to</w:t>
        </w:r>
      </w:smartTag>
      <w:r w:rsidR="0035704B">
        <w:rPr>
          <w:rFonts w:ascii="Times New Roman" w:hAnsi="Times New Roman"/>
          <w:lang w:val="pl-PL"/>
        </w:rPr>
        <w:t>jącemu psu rozsuń sierść pomiędzy łopatkami, tak, aby widoczna była goła skóra. Przytknij koniec pipetki do skóry i kilkukrotnie, mocno ją ściśnij, w celu wyciśnięcia jej zawar</w:t>
      </w:r>
      <w:smartTag w:uri="urn:schemas-microsoft-com:office:smarttags" w:element="PersonName">
        <w:r w:rsidR="0035704B">
          <w:rPr>
            <w:rFonts w:ascii="Times New Roman" w:hAnsi="Times New Roman"/>
            <w:lang w:val="pl-PL"/>
          </w:rPr>
          <w:t>to</w:t>
        </w:r>
      </w:smartTag>
      <w:r w:rsidR="0035704B">
        <w:rPr>
          <w:rFonts w:ascii="Times New Roman" w:hAnsi="Times New Roman"/>
          <w:lang w:val="pl-PL"/>
        </w:rPr>
        <w:t>ści bezpośrednio na skórę. Jeśli to możliwe nanoś substancję na nieuszkodzoną skórę.</w:t>
      </w:r>
    </w:p>
    <w:p w14:paraId="69E02D5D" w14:textId="60B60791" w:rsidR="0035704B" w:rsidRDefault="0035704B" w:rsidP="0035704B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u w:val="single"/>
          <w:lang w:val="pl-PL"/>
        </w:rPr>
        <w:t>Dla psów o masie ciała powyżej 25 kg:</w:t>
      </w:r>
    </w:p>
    <w:p w14:paraId="5839465D" w14:textId="2FC89C89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Aby ułatwić nanoszenie </w:t>
      </w:r>
      <w:r w:rsidR="00554F98">
        <w:rPr>
          <w:rFonts w:ascii="Times New Roman" w:hAnsi="Times New Roman"/>
          <w:lang w:val="pl-PL"/>
        </w:rPr>
        <w:t xml:space="preserve">weterynaryjnego </w:t>
      </w:r>
      <w:r>
        <w:rPr>
          <w:rFonts w:ascii="Times New Roman" w:hAnsi="Times New Roman"/>
          <w:lang w:val="pl-PL"/>
        </w:rPr>
        <w:t>produktu</w:t>
      </w:r>
      <w:r w:rsidR="00554F98">
        <w:rPr>
          <w:rFonts w:ascii="Times New Roman" w:hAnsi="Times New Roman"/>
          <w:lang w:val="pl-PL"/>
        </w:rPr>
        <w:t xml:space="preserve"> leczniczego </w:t>
      </w:r>
      <w:r>
        <w:rPr>
          <w:rFonts w:ascii="Times New Roman" w:hAnsi="Times New Roman"/>
          <w:lang w:val="pl-PL"/>
        </w:rPr>
        <w:t>pies powinien znajdować się w pozycji stojącej. Zawar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ść pipetki powinna zostać naniesiona w równych ilościach w 3 - 4 miejsca położone jedno za drugim wzdłuż grzbietu, począwszy od miejsca pomiędzy łopatkami, aż do nasady ogona. W każdym miejscu należy rozsunąć sierść tak, aby widoczna była goła skóra. Jeśli 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 możliwe nanoś substancję na nieuszkodzoną skórę. Przytknij koniec pipetki do skóry i delikatnie ją ściśnij, w celu wyciśnięcia części jej zawar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ści bezpośrednio na skórę. Nie wyciskaj zbyt dużej ilości </w:t>
      </w:r>
      <w:r w:rsidR="00554F98">
        <w:rPr>
          <w:rFonts w:ascii="Times New Roman" w:hAnsi="Times New Roman"/>
          <w:lang w:val="pl-PL"/>
        </w:rPr>
        <w:t xml:space="preserve">weterynaryjnego produktu leczniczego </w:t>
      </w:r>
      <w:r>
        <w:rPr>
          <w:rFonts w:ascii="Times New Roman" w:hAnsi="Times New Roman"/>
          <w:lang w:val="pl-PL"/>
        </w:rPr>
        <w:t>w jednym miejscu, gdyż może spowodować to spływanie jego po boku zwierzęcia.</w:t>
      </w:r>
    </w:p>
    <w:p w14:paraId="5A74B3E8" w14:textId="168B4E26" w:rsidR="00C03C50" w:rsidRPr="00554F98" w:rsidRDefault="00000000" w:rsidP="00554F98">
      <w:pPr>
        <w:pStyle w:val="NormalIndent"/>
        <w:spacing w:after="0"/>
        <w:ind w:left="0"/>
        <w:jc w:val="left"/>
        <w:rPr>
          <w:lang w:val="pl-PL"/>
        </w:rPr>
      </w:pPr>
      <w:r>
        <w:rPr>
          <w:noProof/>
        </w:rPr>
        <w:lastRenderedPageBreak/>
        <w:object w:dxaOrig="1440" w:dyaOrig="1440" w14:anchorId="688424FC">
          <v:shape id="_x0000_s1029" type="#_x0000_t75" style="position:absolute;margin-left:181.1pt;margin-top:4.3pt;width:129.6pt;height:102.6pt;z-index:251664384" o:allowincell="f">
            <v:imagedata r:id="rId16" o:title=""/>
            <w10:wrap type="topAndBottom"/>
          </v:shape>
          <o:OLEObject Type="Embed" ProgID="PBrush" ShapeID="_x0000_s1029" DrawAspect="Content" ObjectID="_1807450952" r:id="rId17"/>
        </w:object>
      </w:r>
    </w:p>
    <w:p w14:paraId="4A26B741" w14:textId="77777777" w:rsidR="00C03C50" w:rsidRPr="00BE15AB" w:rsidRDefault="00C03C50" w:rsidP="00C03C50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4A5108A3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9CEE1FA" w14:textId="6CD4DCCD" w:rsidR="0035704B" w:rsidRDefault="0035704B" w:rsidP="0035704B">
      <w:r>
        <w:t xml:space="preserve">Dorosłe psy tolerowały nawet 10 krotne przekroczenie zalecanej dawki, bez żadnych objawów </w:t>
      </w:r>
      <w:r w:rsidR="00FF10E2">
        <w:t xml:space="preserve">zdarzeń </w:t>
      </w:r>
      <w:r>
        <w:t xml:space="preserve">niepożądanych lub objawów klinicznych. W badaniach z zastosowaniem 5 krotnej zalecanej dawki minimalnej podawanej w 1 tygodniowych odstępach przez okres 17 tygodni u psów w wieku powyżej 6 miesięcy stwierdzono jej tolerancję bez żadnych </w:t>
      </w:r>
      <w:r w:rsidR="00FF10E2">
        <w:t xml:space="preserve">objawów zdarzeń </w:t>
      </w:r>
      <w:r>
        <w:t>niepożądanych lub objawów klinicznych.</w:t>
      </w:r>
    </w:p>
    <w:p w14:paraId="0353BB1B" w14:textId="77777777" w:rsidR="00AA2D83" w:rsidRDefault="00AA2D83" w:rsidP="0035704B"/>
    <w:p w14:paraId="10C02BB5" w14:textId="3D27911F" w:rsidR="0035704B" w:rsidRDefault="00FF10E2" w:rsidP="0035704B">
      <w:r>
        <w:t xml:space="preserve">Weterynaryjny produkt leczniczy </w:t>
      </w:r>
      <w:r w:rsidR="0035704B">
        <w:t>podawano szczeniętom przekraczając do 5 razy zalecaną dawkę, co 2 tygodnie, powtarzając zabieg 6 razy, bez żadnych poważniejszych zastrzeżeń odnośnie bezpieczeństwa. Obserwowano przemijające rozszerzenie źrenic, nadmierne ślinienie się, wymioty i przemijające przyśpieszenie oddychania.</w:t>
      </w:r>
    </w:p>
    <w:p w14:paraId="5B8B79F5" w14:textId="77777777" w:rsidR="00AA2D83" w:rsidRDefault="00AA2D83" w:rsidP="0035704B"/>
    <w:p w14:paraId="37598A35" w14:textId="31F7146D" w:rsidR="0035704B" w:rsidRDefault="0035704B" w:rsidP="0035704B">
      <w:r>
        <w:t xml:space="preserve">Po przypadkowym połknięciu lub przedawkowaniu </w:t>
      </w:r>
      <w:r w:rsidR="003E2B47">
        <w:t xml:space="preserve">weterynaryjnego produktu leczniczego </w:t>
      </w:r>
      <w:r>
        <w:t>mogą pojawiać się objawy ze strony układu nerwowego (w większości przemijające), takie jak ataksja, uogólnione drżenie, objawy ze strony oczu (rozszerzenie źrenic, słabo wyrażony odruch źrenicowy, oczopląs), w bardzo rzadkich przypadkach mogą wystąpić zaburzenia oddychania, nadmierne ślinienie się i wymioty.</w:t>
      </w:r>
    </w:p>
    <w:p w14:paraId="0C29F9FA" w14:textId="77777777" w:rsidR="00AA2D83" w:rsidRDefault="00AA2D83" w:rsidP="0035704B"/>
    <w:p w14:paraId="0117E9BA" w14:textId="56F0A9D6" w:rsidR="0035704B" w:rsidRDefault="0035704B" w:rsidP="0035704B">
      <w:r>
        <w:t xml:space="preserve">Wrażliwe na iwermektynę psy rasy Collie tolerowały nawet 5 - krotne przekroczenie zalecanej dawki podawanej w 1 miesięcznych odstępach nie wykazując żadnych </w:t>
      </w:r>
      <w:r w:rsidR="003E2B47">
        <w:t xml:space="preserve">objawów zdarzeń </w:t>
      </w:r>
      <w:r>
        <w:t xml:space="preserve">niepożądanych jednakże bezpieczeństwo stosowania w odstępach 1 tygodniowych nie było badane u wrażliwych na ivermektynę psów Collie. W przypadku doustnego podania 40% jednostkowej dawki obserwowano poważne objawy ze strony układu nerwowego. Podanie doustne 10% zalecanej dawki nie powodowało żadnych </w:t>
      </w:r>
      <w:r w:rsidR="003E2B47">
        <w:t xml:space="preserve">zdarzeń </w:t>
      </w:r>
      <w:r>
        <w:t>niepożądanych.</w:t>
      </w:r>
    </w:p>
    <w:p w14:paraId="4201FE40" w14:textId="77777777" w:rsidR="00787C90" w:rsidRDefault="00787C90" w:rsidP="0035704B"/>
    <w:p w14:paraId="0D6E2937" w14:textId="69B0681B" w:rsidR="0035704B" w:rsidRDefault="0035704B" w:rsidP="0035704B">
      <w:r>
        <w:t xml:space="preserve">Psy zaatakowane przez dorosłe postaci nicieni wywołujących robaczycę serca tolerowały nawet 5 krotne przekroczenia zalecanej dawki, podawanej trzykrotnie, co 2 tygodnie nie wykazując żadnych </w:t>
      </w:r>
      <w:r w:rsidR="003E2B47">
        <w:t>objawów zdarzeń</w:t>
      </w:r>
      <w:r>
        <w:t xml:space="preserve"> niepożądanych.</w:t>
      </w:r>
    </w:p>
    <w:p w14:paraId="562FCFA3" w14:textId="77777777" w:rsidR="0035704B" w:rsidRDefault="0035704B" w:rsidP="0035704B"/>
    <w:p w14:paraId="03A1294B" w14:textId="50117725" w:rsidR="0035704B" w:rsidRPr="0035704B" w:rsidRDefault="0035704B" w:rsidP="0035704B">
      <w:r>
        <w:t xml:space="preserve">W razie przypadkowego połknięcia </w:t>
      </w:r>
      <w:r w:rsidR="003E2B47">
        <w:t>weterynaryjnego produktu leczniczego</w:t>
      </w:r>
      <w:r>
        <w:t xml:space="preserve">, należy podjąć leczenie objawowe. </w:t>
      </w:r>
      <w:r>
        <w:rPr>
          <w:snapToGrid w:val="0"/>
        </w:rPr>
        <w:t>Nie istnieje specyficzna odtrutka.</w:t>
      </w:r>
      <w:r>
        <w:t xml:space="preserve"> Korzystne może okazać się podanie węgla aktywowanego.</w:t>
      </w:r>
    </w:p>
    <w:p w14:paraId="6ABACDCA" w14:textId="77777777" w:rsidR="0035704B" w:rsidRPr="00BE15AB" w:rsidRDefault="0035704B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1C52EC2" w14:textId="77777777" w:rsidR="00C03C50" w:rsidRPr="00BE15AB" w:rsidRDefault="00C03C50" w:rsidP="00C03C50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24A243FB" w14:textId="77777777" w:rsidR="00C03C50" w:rsidRPr="00BE15AB" w:rsidRDefault="00C03C50" w:rsidP="00C03C50">
      <w:pPr>
        <w:rPr>
          <w:szCs w:val="22"/>
        </w:rPr>
      </w:pPr>
    </w:p>
    <w:p w14:paraId="3991BC3B" w14:textId="6CB9730C" w:rsidR="00554F98" w:rsidRPr="00554F98" w:rsidRDefault="00C03C50" w:rsidP="00C03C50">
      <w:pPr>
        <w:tabs>
          <w:tab w:val="clear" w:pos="567"/>
        </w:tabs>
        <w:spacing w:line="240" w:lineRule="auto"/>
      </w:pPr>
      <w:r w:rsidRPr="00BE15AB">
        <w:t>Nie dotyczy.</w:t>
      </w:r>
    </w:p>
    <w:p w14:paraId="03E24543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1A87DF61" w14:textId="77777777" w:rsidR="00C03C50" w:rsidRPr="00BE15AB" w:rsidRDefault="00C03C50" w:rsidP="00C03C50">
      <w:pPr>
        <w:pStyle w:val="Style1"/>
      </w:pPr>
      <w:r w:rsidRPr="00BE15AB">
        <w:t>3.12</w:t>
      </w:r>
      <w:r w:rsidRPr="00BE15AB">
        <w:tab/>
        <w:t>Okresy karencji</w:t>
      </w:r>
    </w:p>
    <w:p w14:paraId="69914AAC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F748FB0" w14:textId="7CDB99B9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65B93936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50F2242B" w14:textId="77777777" w:rsidR="00BA2D4C" w:rsidRPr="00BE15AB" w:rsidRDefault="00BA2D4C" w:rsidP="00C03C50">
      <w:pPr>
        <w:tabs>
          <w:tab w:val="clear" w:pos="567"/>
        </w:tabs>
        <w:spacing w:line="240" w:lineRule="auto"/>
        <w:rPr>
          <w:szCs w:val="22"/>
        </w:rPr>
      </w:pPr>
    </w:p>
    <w:p w14:paraId="0DD4CA93" w14:textId="1CAF01A1" w:rsidR="00C03C50" w:rsidRPr="00BE15AB" w:rsidRDefault="00C03C50" w:rsidP="00C03C50">
      <w:pPr>
        <w:pStyle w:val="Style1"/>
      </w:pPr>
      <w:r w:rsidRPr="00D101B6">
        <w:t>4.</w:t>
      </w:r>
      <w:r w:rsidRPr="00D101B6">
        <w:tab/>
      </w:r>
      <w:r w:rsidRPr="00BE15AB">
        <w:t xml:space="preserve">DANE FARMAKOLOGICZNE </w:t>
      </w:r>
    </w:p>
    <w:p w14:paraId="376C29D7" w14:textId="77777777" w:rsidR="00C03C50" w:rsidRPr="00D101B6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4B8DFF09" w14:textId="7DEB2F9A" w:rsidR="00C03C50" w:rsidRPr="00BE15AB" w:rsidRDefault="00C03C50" w:rsidP="009D3A98">
      <w:pPr>
        <w:pStyle w:val="Style1"/>
      </w:pPr>
      <w:r w:rsidRPr="00D101B6">
        <w:t>4.1</w:t>
      </w:r>
      <w:r w:rsidRPr="00D101B6">
        <w:tab/>
      </w:r>
      <w:r w:rsidRPr="00BE15AB">
        <w:t>Kod ATCvet:</w:t>
      </w:r>
      <w:r w:rsidR="0035704B">
        <w:t xml:space="preserve"> </w:t>
      </w:r>
      <w:r w:rsidR="0035704B" w:rsidRPr="00554F98">
        <w:rPr>
          <w:b w:val="0"/>
          <w:bCs/>
        </w:rPr>
        <w:t>QP54AB52</w:t>
      </w:r>
    </w:p>
    <w:p w14:paraId="75DEC712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E87F439" w14:textId="69237471" w:rsidR="00C03C50" w:rsidRPr="00BE15AB" w:rsidRDefault="00C03C50" w:rsidP="00C03C50">
      <w:pPr>
        <w:pStyle w:val="Style1"/>
      </w:pPr>
      <w:r w:rsidRPr="00BE15AB">
        <w:t>4.2</w:t>
      </w:r>
      <w:r w:rsidRPr="00BE15AB">
        <w:tab/>
        <w:t>Dane farmakodynamiczne</w:t>
      </w:r>
    </w:p>
    <w:p w14:paraId="40B1241F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07E3328" w14:textId="5060A74C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u w:val="single"/>
          <w:lang w:val="pl-PL"/>
        </w:rPr>
        <w:t>Imidaklopr</w:t>
      </w:r>
      <w:r w:rsidR="007D5DD2">
        <w:rPr>
          <w:rFonts w:ascii="Times New Roman" w:hAnsi="Times New Roman"/>
          <w:u w:val="single"/>
          <w:lang w:val="pl-PL"/>
        </w:rPr>
        <w:t>y</w:t>
      </w:r>
      <w:r>
        <w:rPr>
          <w:rFonts w:ascii="Times New Roman" w:hAnsi="Times New Roman"/>
          <w:u w:val="single"/>
          <w:lang w:val="pl-PL"/>
        </w:rPr>
        <w:t>d</w:t>
      </w:r>
      <w:r>
        <w:rPr>
          <w:rFonts w:ascii="Times New Roman" w:hAnsi="Times New Roman"/>
          <w:lang w:val="pl-PL"/>
        </w:rPr>
        <w:t>, 1-(6-Chloro-3-pyridylmethyl)-N-nitro-imidazolidin-2-ylideneamine jest substancją zabijającą ek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>pasożyty, należącą do grupy związków chloronikotynilowych. Chemicznie, dokładniej można ją opisać jako nitroguanidyna chloronikotynilu. Imidaklopr</w:t>
      </w:r>
      <w:r w:rsidR="007D5DD2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 xml:space="preserve">d jest skuteczny wobec pcheł w postaci larwalnej i wobec osobników dorosłych. Wskutek kontaktu ze zwierzęciem, na którym zastosowano ten </w:t>
      </w:r>
      <w:r w:rsidR="003E2B47">
        <w:rPr>
          <w:rFonts w:ascii="Times New Roman" w:hAnsi="Times New Roman"/>
          <w:lang w:val="pl-PL"/>
        </w:rPr>
        <w:t>weterynary</w:t>
      </w:r>
      <w:r w:rsidR="007D5DD2">
        <w:rPr>
          <w:rFonts w:ascii="Times New Roman" w:hAnsi="Times New Roman"/>
          <w:lang w:val="pl-PL"/>
        </w:rPr>
        <w:t>j</w:t>
      </w:r>
      <w:r w:rsidR="003E2B47">
        <w:rPr>
          <w:rFonts w:ascii="Times New Roman" w:hAnsi="Times New Roman"/>
          <w:lang w:val="pl-PL"/>
        </w:rPr>
        <w:t xml:space="preserve">ny </w:t>
      </w:r>
      <w:r>
        <w:rPr>
          <w:rFonts w:ascii="Times New Roman" w:hAnsi="Times New Roman"/>
          <w:lang w:val="pl-PL"/>
        </w:rPr>
        <w:t>produkt</w:t>
      </w:r>
      <w:r w:rsidR="003E2B47">
        <w:rPr>
          <w:rFonts w:ascii="Times New Roman" w:hAnsi="Times New Roman"/>
          <w:lang w:val="pl-PL"/>
        </w:rPr>
        <w:t xml:space="preserve"> leczniczy</w:t>
      </w:r>
      <w:r>
        <w:rPr>
          <w:rFonts w:ascii="Times New Roman" w:hAnsi="Times New Roman"/>
          <w:lang w:val="pl-PL"/>
        </w:rPr>
        <w:t>, giną larwy pcheł także w otoczeniu zwierzęcia. Imidaklopr</w:t>
      </w:r>
      <w:r w:rsidR="007D5DD2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 xml:space="preserve">d posiada duże powinowactwo do nikotynergicznych receptorów acetylocholinowych ośrodkowego układu nerwowego </w:t>
      </w:r>
      <w:r w:rsidR="00AA2D83">
        <w:rPr>
          <w:rFonts w:ascii="Times New Roman" w:hAnsi="Times New Roman"/>
          <w:lang w:val="pl-PL"/>
        </w:rPr>
        <w:t>pcheł</w:t>
      </w:r>
      <w:r>
        <w:rPr>
          <w:rFonts w:ascii="Times New Roman" w:hAnsi="Times New Roman"/>
          <w:lang w:val="pl-PL"/>
        </w:rPr>
        <w:t>. Związane z tym zahamowanie przewodnictwa cholinergicznego u owada skutkuje porażeniem i śmiercią pasożyta. Ze względu na słabe interakcje z recep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rami nikotynowymi ssaków i zakładanym słabym przenikaniem przez barierę krew-mózg u tych zwierząt, substancja ta praktycznie nie wywiera żadnego działania na ośrodkowy układ nerwowy ssaków. </w:t>
      </w:r>
      <w:r w:rsidR="007D5DD2">
        <w:rPr>
          <w:rFonts w:ascii="Times New Roman" w:hAnsi="Times New Roman"/>
          <w:lang w:val="pl-PL"/>
        </w:rPr>
        <w:t xml:space="preserve">Imidaklopryd </w:t>
      </w:r>
      <w:r>
        <w:rPr>
          <w:rFonts w:ascii="Times New Roman" w:hAnsi="Times New Roman"/>
          <w:lang w:val="pl-PL"/>
        </w:rPr>
        <w:t>wykazuje minimalną aktywność farmakologiczną u ssaków.</w:t>
      </w:r>
    </w:p>
    <w:p w14:paraId="747D43A5" w14:textId="77777777" w:rsidR="0035704B" w:rsidRDefault="0035704B" w:rsidP="0035704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14:paraId="7CC985EA" w14:textId="26FEDE7C" w:rsidR="0035704B" w:rsidRPr="00173A30" w:rsidRDefault="0035704B" w:rsidP="0035704B">
      <w:r>
        <w:rPr>
          <w:u w:val="single"/>
        </w:rPr>
        <w:t>Moksydektyna</w:t>
      </w:r>
      <w:r>
        <w:t xml:space="preserve">, </w:t>
      </w:r>
      <w:r>
        <w:rPr>
          <w:snapToGrid w:val="0"/>
        </w:rPr>
        <w:t>23-(O-methyloxime)-F28249 alpha</w:t>
      </w:r>
      <w:r>
        <w:t xml:space="preserve"> jest makrocyklicznym lak</w:t>
      </w:r>
      <w:smartTag w:uri="urn:schemas-microsoft-com:office:smarttags" w:element="PersonName">
        <w:r>
          <w:t>to</w:t>
        </w:r>
      </w:smartTag>
      <w:r>
        <w:t xml:space="preserve">nem drugiej generacji z rodziny milbemycyn. Jest </w:t>
      </w:r>
      <w:smartTag w:uri="urn:schemas-microsoft-com:office:smarttags" w:element="PersonName">
        <w:r>
          <w:t>to</w:t>
        </w:r>
      </w:smartTag>
      <w:r>
        <w:t xml:space="preserve"> substancja o działaniu przeciwpasożytniczym, działająca bójczo w s</w:t>
      </w:r>
      <w:smartTag w:uri="urn:schemas-microsoft-com:office:smarttags" w:element="PersonName">
        <w:r>
          <w:t>to</w:t>
        </w:r>
      </w:smartTag>
      <w:r>
        <w:t xml:space="preserve">sunku do wielu pasożytów wewnętrznych i zewnętrznych. Moksydektyna działa na postacie larwalne </w:t>
      </w:r>
      <w:r>
        <w:rPr>
          <w:i/>
        </w:rPr>
        <w:t xml:space="preserve">Dirofilaria immitis </w:t>
      </w:r>
      <w:r>
        <w:t>(</w:t>
      </w:r>
      <w:r>
        <w:rPr>
          <w:szCs w:val="22"/>
        </w:rPr>
        <w:t xml:space="preserve">L1, </w:t>
      </w:r>
      <w:r>
        <w:t xml:space="preserve">L3, L4) i </w:t>
      </w:r>
      <w:r>
        <w:rPr>
          <w:i/>
          <w:szCs w:val="22"/>
        </w:rPr>
        <w:t xml:space="preserve">Dirofilaria repens </w:t>
      </w:r>
      <w:r w:rsidRPr="00C45F01">
        <w:rPr>
          <w:szCs w:val="22"/>
        </w:rPr>
        <w:t>(</w:t>
      </w:r>
      <w:r>
        <w:rPr>
          <w:szCs w:val="22"/>
        </w:rPr>
        <w:t>L1, L3</w:t>
      </w:r>
      <w:r w:rsidRPr="00C45F01">
        <w:rPr>
          <w:szCs w:val="22"/>
        </w:rPr>
        <w:t>)</w:t>
      </w:r>
      <w:r>
        <w:rPr>
          <w:i/>
          <w:szCs w:val="22"/>
        </w:rPr>
        <w:t>,</w:t>
      </w:r>
      <w:r w:rsidRPr="00EC3019">
        <w:t xml:space="preserve"> a także</w:t>
      </w:r>
      <w:r>
        <w:t xml:space="preserve"> przeciwko nicieniom bytującym w układzie pokarmowym. Moksydektyna reaguje z GABA i wpływa na przekaźnictwo glutaminianowe w obrębie kanałów dla jonów chlorkowych. Prowadzi </w:t>
      </w:r>
      <w:smartTag w:uri="urn:schemas-microsoft-com:office:smarttags" w:element="PersonName">
        <w:r>
          <w:t>to</w:t>
        </w:r>
      </w:smartTag>
      <w:r>
        <w:t xml:space="preserve"> do otwierania się kanałów chlorkowych na błonie postsynaptycznej, wpływu jonów chlorkowych do komórki i indukcji nieodwracalnego stanu spoczynku. Rezultatem jest porażenie wiotkie pasożytów, które następnie giną i/lub są wydalane.</w:t>
      </w:r>
      <w:r w:rsidR="00173A30">
        <w:t xml:space="preserve"> </w:t>
      </w:r>
      <w:r w:rsidRPr="004D38E2">
        <w:t xml:space="preserve">Lek </w:t>
      </w:r>
      <w:r>
        <w:t>wykazuje</w:t>
      </w:r>
      <w:r w:rsidRPr="004D38E2">
        <w:t xml:space="preserve"> trwałe działanie i po pojedynczym podaniu</w:t>
      </w:r>
      <w:r>
        <w:t xml:space="preserve"> </w:t>
      </w:r>
      <w:r w:rsidRPr="004D38E2">
        <w:t>chroni psy przez</w:t>
      </w:r>
      <w:r>
        <w:t xml:space="preserve"> okres</w:t>
      </w:r>
      <w:r w:rsidRPr="004D38E2">
        <w:t xml:space="preserve"> 4 tygodni przeciwko ponownemu za</w:t>
      </w:r>
      <w:r w:rsidR="00173A30">
        <w:t>r</w:t>
      </w:r>
      <w:r w:rsidRPr="004D38E2">
        <w:t xml:space="preserve">ażeniu następującymi pasożytami: </w:t>
      </w:r>
      <w:r w:rsidRPr="0023270B">
        <w:rPr>
          <w:i/>
        </w:rPr>
        <w:t>Dirofilaria immitis</w:t>
      </w:r>
      <w:r w:rsidRPr="004D38E2">
        <w:t>,</w:t>
      </w:r>
      <w:r w:rsidRPr="0023270B">
        <w:rPr>
          <w:i/>
        </w:rPr>
        <w:t xml:space="preserve"> Dirofilaria repens</w:t>
      </w:r>
      <w:r w:rsidRPr="004D38E2">
        <w:t xml:space="preserve">, </w:t>
      </w:r>
      <w:r w:rsidRPr="0023270B">
        <w:rPr>
          <w:i/>
        </w:rPr>
        <w:t>Angiostrongylus vasorum</w:t>
      </w:r>
      <w:r w:rsidRPr="0023270B">
        <w:t>.</w:t>
      </w:r>
    </w:p>
    <w:p w14:paraId="1F2E29BC" w14:textId="77777777" w:rsidR="0035704B" w:rsidRPr="00BE15AB" w:rsidRDefault="0035704B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6C38503" w14:textId="21F98831" w:rsidR="00C03C50" w:rsidRDefault="00C03C50" w:rsidP="00C03C50">
      <w:pPr>
        <w:pStyle w:val="Style1"/>
      </w:pPr>
      <w:r w:rsidRPr="00BE15AB">
        <w:t>4.3</w:t>
      </w:r>
      <w:r w:rsidRPr="00BE15AB">
        <w:tab/>
        <w:t>Dane farmakokinetyczne</w:t>
      </w:r>
    </w:p>
    <w:p w14:paraId="490D5FB3" w14:textId="77777777" w:rsidR="0035704B" w:rsidRPr="00BE15AB" w:rsidRDefault="0035704B" w:rsidP="00C03C50">
      <w:pPr>
        <w:pStyle w:val="Style1"/>
      </w:pPr>
    </w:p>
    <w:p w14:paraId="08A71C54" w14:textId="1AAA06A7" w:rsidR="0035704B" w:rsidRDefault="0035704B" w:rsidP="0035704B">
      <w:r>
        <w:t xml:space="preserve">Po podaniu miejscowym </w:t>
      </w:r>
      <w:r w:rsidR="003E2B47">
        <w:t xml:space="preserve">weterynaryjnego </w:t>
      </w:r>
      <w:r>
        <w:t>produktu</w:t>
      </w:r>
      <w:r w:rsidR="003E2B47">
        <w:t xml:space="preserve"> leczniczego</w:t>
      </w:r>
      <w:r>
        <w:t xml:space="preserve">, </w:t>
      </w:r>
      <w:r w:rsidR="007D5DD2">
        <w:t xml:space="preserve">imidaklopryd </w:t>
      </w:r>
      <w:r>
        <w:t>w ciągu jednego dnia stosowania błyskawicznie rozprzestrzenia się na skórze zwierzęcia. Można wykazać jego obecność na powierzchni ciała nawet podczas przerw w leczeniu. Moksydektyna wchłania się przez skórę, osiągając najwyższe stężenie w osoczu psa w około 4 do 9 dni po jej zas</w:t>
      </w:r>
      <w:smartTag w:uri="urn:schemas-microsoft-com:office:smarttags" w:element="PersonName">
        <w:r>
          <w:t>to</w:t>
        </w:r>
      </w:smartTag>
      <w:r>
        <w:t xml:space="preserve">sowaniu. </w:t>
      </w:r>
      <w:r w:rsidRPr="00CA559D">
        <w:t>Po wchłonięciu przez skórę, moksydektyna jest rozprowadzana po całym organizmie</w:t>
      </w:r>
      <w:r>
        <w:t xml:space="preserve">, </w:t>
      </w:r>
      <w:r w:rsidRPr="00CA559D">
        <w:t>ale ze względu na lipofilowość koncentruje się głównie w tłus</w:t>
      </w:r>
      <w:r>
        <w:t>zczu</w:t>
      </w:r>
      <w:r w:rsidRPr="00CA559D">
        <w:t xml:space="preserve">. </w:t>
      </w:r>
      <w:r>
        <w:t>Jest powoli usuwana z osocza, co można wykazać wykrywalnymi ilościami tej substancji w osoczu, na przestrzeni miesięcznej przerwy w leczeniu.</w:t>
      </w:r>
    </w:p>
    <w:p w14:paraId="0DF66B34" w14:textId="428E250D" w:rsidR="0035704B" w:rsidRDefault="0035704B" w:rsidP="0035704B">
      <w:r w:rsidRPr="0023270B">
        <w:t>T</w:t>
      </w:r>
      <w:r w:rsidR="004118E0" w:rsidRPr="009062F0">
        <w:rPr>
          <w:szCs w:val="22"/>
          <w:vertAlign w:val="subscript"/>
        </w:rPr>
        <w:t>1/2</w:t>
      </w:r>
      <w:r w:rsidRPr="0023270B">
        <w:t xml:space="preserve"> wynosi u psów około </w:t>
      </w:r>
      <w:r w:rsidRPr="00CA559D">
        <w:t>28</w:t>
      </w:r>
      <w:r>
        <w:t>,</w:t>
      </w:r>
      <w:r w:rsidRPr="0023270B">
        <w:t xml:space="preserve">4 </w:t>
      </w:r>
      <w:r>
        <w:t>dnia.</w:t>
      </w:r>
    </w:p>
    <w:p w14:paraId="00DDA546" w14:textId="77777777" w:rsidR="009D3A98" w:rsidRDefault="009D3A98" w:rsidP="0035704B"/>
    <w:p w14:paraId="385A270C" w14:textId="75E4FEC9" w:rsidR="0035704B" w:rsidRPr="0035704B" w:rsidRDefault="0035704B" w:rsidP="0035704B">
      <w:r w:rsidRPr="00CA559D">
        <w:t>Badania oceniające właściwości farmakokinetyczne moksydektyny po wiel</w:t>
      </w:r>
      <w:r>
        <w:t>okrotnych podaniach</w:t>
      </w:r>
      <w:r w:rsidRPr="00CA559D">
        <w:t xml:space="preserve"> wykazały, że poziomy w stanie stacjonarnym w surowicy </w:t>
      </w:r>
      <w:r>
        <w:t>są osiągane</w:t>
      </w:r>
      <w:r w:rsidRPr="00CA559D">
        <w:t xml:space="preserve"> </w:t>
      </w:r>
      <w:r>
        <w:t xml:space="preserve">u psów </w:t>
      </w:r>
      <w:r w:rsidRPr="00CA559D">
        <w:t xml:space="preserve">po około 4 kolejnych comiesięcznych </w:t>
      </w:r>
      <w:r>
        <w:t>aplikacjach.</w:t>
      </w:r>
    </w:p>
    <w:p w14:paraId="75D2B66D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853936D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94B838D" w14:textId="77777777" w:rsidR="00C03C50" w:rsidRPr="00BE15AB" w:rsidRDefault="00C03C50" w:rsidP="00C03C50">
      <w:pPr>
        <w:pStyle w:val="Style1"/>
      </w:pPr>
      <w:r w:rsidRPr="00BE15AB">
        <w:t>5.</w:t>
      </w:r>
      <w:r w:rsidRPr="00BE15AB">
        <w:tab/>
        <w:t>DANE FARMACEUTYCZNE</w:t>
      </w:r>
    </w:p>
    <w:p w14:paraId="6102B8F3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407E1E84" w14:textId="77777777" w:rsidR="00C03C50" w:rsidRPr="00BE15AB" w:rsidRDefault="00C03C50" w:rsidP="00C03C50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4165786F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5EE61C8" w14:textId="28D594EE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  <w:r w:rsidRPr="00BE15AB">
        <w:t>Nieznane</w:t>
      </w:r>
      <w:r w:rsidR="003E2B47">
        <w:t>.</w:t>
      </w:r>
    </w:p>
    <w:p w14:paraId="552A2C1E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4DEB5B7B" w14:textId="77777777" w:rsidR="00C03C50" w:rsidRPr="00BE15AB" w:rsidRDefault="00C03C50" w:rsidP="00C03C50">
      <w:pPr>
        <w:pStyle w:val="Style1"/>
      </w:pPr>
      <w:r w:rsidRPr="00BE15AB">
        <w:t>5.2</w:t>
      </w:r>
      <w:r w:rsidRPr="00BE15AB">
        <w:tab/>
        <w:t>Okres ważności</w:t>
      </w:r>
    </w:p>
    <w:p w14:paraId="59215CB1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FEDD86D" w14:textId="5E4B86FE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35704B">
        <w:t xml:space="preserve"> 3 lata</w:t>
      </w:r>
    </w:p>
    <w:p w14:paraId="51B6D39C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DE0F60A" w14:textId="77777777" w:rsidR="00C03C50" w:rsidRPr="00BE15AB" w:rsidRDefault="00C03C50" w:rsidP="00C03C50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6A4BCCD3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8FDA9C5" w14:textId="4EE9AD99" w:rsidR="00C03C50" w:rsidRPr="00BE15AB" w:rsidRDefault="00C03C50" w:rsidP="00C03C50">
      <w:pPr>
        <w:pStyle w:val="Style5"/>
      </w:pPr>
      <w:r w:rsidRPr="00BE15AB">
        <w:t>Nie przechowywać w temperaturze powyżej 30</w:t>
      </w:r>
      <w:r w:rsidR="004118E0">
        <w:t> </w:t>
      </w:r>
      <w:r w:rsidRPr="00BE15AB">
        <w:t>°C.</w:t>
      </w:r>
    </w:p>
    <w:p w14:paraId="6F0E96A1" w14:textId="5B4C0A89" w:rsidR="00C03C50" w:rsidRPr="003B2F38" w:rsidRDefault="00C03C50" w:rsidP="0035704B">
      <w:pPr>
        <w:pStyle w:val="Style5"/>
      </w:pPr>
    </w:p>
    <w:p w14:paraId="1DB59E8B" w14:textId="77777777" w:rsidR="00C03C50" w:rsidRPr="00BE15AB" w:rsidRDefault="00C03C50" w:rsidP="00C03C50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5B8FFE4E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A6A2706" w14:textId="77777777" w:rsidR="003E2B47" w:rsidRPr="00A0601D" w:rsidRDefault="003E2B47" w:rsidP="003E2B47">
      <w:pPr>
        <w:pStyle w:val="Style1"/>
        <w:rPr>
          <w:b w:val="0"/>
          <w:bCs/>
        </w:rPr>
      </w:pPr>
      <w:r w:rsidRPr="00A0601D">
        <w:rPr>
          <w:b w:val="0"/>
          <w:bCs/>
        </w:rPr>
        <w:t>Materiał opakowania:</w:t>
      </w:r>
      <w:r w:rsidRPr="00A0601D">
        <w:rPr>
          <w:b w:val="0"/>
          <w:bCs/>
        </w:rPr>
        <w:tab/>
      </w:r>
    </w:p>
    <w:p w14:paraId="1567E5B4" w14:textId="24B7DDC8" w:rsidR="003E2B47" w:rsidRPr="00A0601D" w:rsidRDefault="003E2B47" w:rsidP="00AD768B">
      <w:pPr>
        <w:pStyle w:val="Style1"/>
        <w:ind w:left="0" w:firstLine="0"/>
        <w:rPr>
          <w:b w:val="0"/>
          <w:bCs/>
        </w:rPr>
      </w:pPr>
      <w:r w:rsidRPr="00A0601D">
        <w:rPr>
          <w:b w:val="0"/>
          <w:bCs/>
        </w:rPr>
        <w:t>Biała polipropylenowa pipetka jednodawkowa zamknięta białą polipropylenową nakrętką.</w:t>
      </w:r>
      <w:r w:rsidR="00173A30" w:rsidRPr="00A0601D">
        <w:rPr>
          <w:b w:val="0"/>
          <w:bCs/>
        </w:rPr>
        <w:t xml:space="preserve"> Pipety jednodawkowe są pakowane w blistry z polichlorku winylu i folii aluminiowej.</w:t>
      </w:r>
    </w:p>
    <w:p w14:paraId="39226690" w14:textId="77777777" w:rsidR="003E2B47" w:rsidRPr="00A0601D" w:rsidRDefault="003E2B47" w:rsidP="003E2B47">
      <w:pPr>
        <w:pStyle w:val="Style1"/>
      </w:pPr>
    </w:p>
    <w:p w14:paraId="77C57C4C" w14:textId="439F1094" w:rsidR="003E2B47" w:rsidRPr="00A0601D" w:rsidRDefault="003E2B47" w:rsidP="003E2B47">
      <w:pPr>
        <w:pStyle w:val="Style1"/>
        <w:rPr>
          <w:b w:val="0"/>
          <w:bCs/>
        </w:rPr>
      </w:pPr>
      <w:r w:rsidRPr="00A0601D">
        <w:rPr>
          <w:b w:val="0"/>
          <w:bCs/>
        </w:rPr>
        <w:t xml:space="preserve">Wielkości opakowań: </w:t>
      </w:r>
    </w:p>
    <w:p w14:paraId="4E44668B" w14:textId="521A1BC3" w:rsidR="00C03C50" w:rsidRPr="009D3A98" w:rsidRDefault="003E2B47" w:rsidP="009D3A98">
      <w:pPr>
        <w:pStyle w:val="NormalIndent"/>
        <w:keepNext/>
        <w:spacing w:after="0"/>
        <w:ind w:left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Tekturowe pudełko zawierające 1, 2, 3, 4, 6, 9, 12, 21 lub 42 jednodawkowych pipetek w jednym lub większej ilości blistrów. </w:t>
      </w:r>
      <w:r w:rsidR="00991517" w:rsidRPr="003722FB">
        <w:rPr>
          <w:rFonts w:ascii="Times New Roman" w:hAnsi="Times New Roman"/>
          <w:lang w:val="pl-PL"/>
        </w:rPr>
        <w:t>Każda jednodawkowa pipetka zawiera</w:t>
      </w:r>
      <w:r w:rsidR="00991517" w:rsidRPr="003B2F38">
        <w:rPr>
          <w:rFonts w:ascii="Times New Roman" w:hAnsi="Times New Roman"/>
          <w:lang w:val="pl-PL"/>
        </w:rPr>
        <w:t xml:space="preserve"> 0</w:t>
      </w:r>
      <w:r w:rsidR="00991517" w:rsidRPr="003722FB">
        <w:rPr>
          <w:rFonts w:ascii="Times New Roman" w:hAnsi="Times New Roman"/>
          <w:lang w:val="pl-PL"/>
        </w:rPr>
        <w:t>,</w:t>
      </w:r>
      <w:r w:rsidR="00991517" w:rsidRPr="003B2F38">
        <w:rPr>
          <w:rFonts w:ascii="Times New Roman" w:hAnsi="Times New Roman"/>
          <w:lang w:val="pl-PL"/>
        </w:rPr>
        <w:t>4 ml</w:t>
      </w:r>
      <w:r w:rsidR="00991517">
        <w:rPr>
          <w:rFonts w:ascii="Times New Roman" w:hAnsi="Times New Roman"/>
          <w:lang w:val="pl-PL"/>
        </w:rPr>
        <w:t xml:space="preserve">, 1,0 ml, 2,5 ml oraz 4,0 ml </w:t>
      </w:r>
      <w:r w:rsidR="00991517" w:rsidRPr="003722FB">
        <w:rPr>
          <w:rFonts w:ascii="Times New Roman" w:hAnsi="Times New Roman"/>
          <w:lang w:val="pl-PL"/>
        </w:rPr>
        <w:t>roztworu.</w:t>
      </w:r>
    </w:p>
    <w:p w14:paraId="16DBF9E8" w14:textId="77777777" w:rsidR="00173A30" w:rsidRDefault="00173A30" w:rsidP="00173A30">
      <w:r>
        <w:t>Niektóre wielkości opakowań mogą nie być dostępne w obrocie.</w:t>
      </w:r>
    </w:p>
    <w:p w14:paraId="1F2F70F3" w14:textId="77777777" w:rsidR="00173A30" w:rsidRPr="00BE15AB" w:rsidRDefault="00173A3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11EB5AB" w14:textId="77777777" w:rsidR="00C03C50" w:rsidRPr="00BE15AB" w:rsidRDefault="00C03C50" w:rsidP="00C03C50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>
        <w:t>ych</w:t>
      </w:r>
      <w:r w:rsidRPr="00BE15AB">
        <w:t xml:space="preserve"> weterynaryjn</w:t>
      </w:r>
      <w:r>
        <w:t>ych</w:t>
      </w:r>
      <w:r w:rsidRPr="00BE15AB">
        <w:t xml:space="preserve"> produkt</w:t>
      </w:r>
      <w:r>
        <w:t>ów</w:t>
      </w:r>
      <w:r w:rsidRPr="00BE15AB">
        <w:t xml:space="preserve"> lecznicz</w:t>
      </w:r>
      <w:r>
        <w:t>ych</w:t>
      </w:r>
      <w:r w:rsidRPr="00BE15AB">
        <w:t xml:space="preserve"> lub pochodzących z ni</w:t>
      </w:r>
      <w:r>
        <w:t>ch</w:t>
      </w:r>
      <w:r w:rsidRPr="00BE15AB">
        <w:t xml:space="preserve"> odpadów</w:t>
      </w:r>
    </w:p>
    <w:p w14:paraId="022C2C6E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3B11A20" w14:textId="7ECFE277" w:rsidR="00C03C50" w:rsidRPr="00BE15AB" w:rsidRDefault="00C03C50" w:rsidP="00C03C50">
      <w:pPr>
        <w:rPr>
          <w:szCs w:val="22"/>
        </w:rPr>
      </w:pPr>
      <w:r w:rsidRPr="00BE15AB">
        <w:t>Leków nie należy usuwać do kanalizacji ani wyrzucać do śmieci.</w:t>
      </w:r>
    </w:p>
    <w:p w14:paraId="6C44373C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2E0C35E" w14:textId="77777777" w:rsidR="003E2B47" w:rsidRPr="00BE15AB" w:rsidRDefault="003E2B47" w:rsidP="003E2B47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 xml:space="preserve">Weterynaryjny produkt leczniczy nie powinien się przedostawać do cieków wodnych, ponieważ </w:t>
      </w:r>
      <w:r>
        <w:t xml:space="preserve">imidaklopryd i moksydektyna </w:t>
      </w:r>
      <w:r w:rsidRPr="00BE15AB">
        <w:t>mogą być niebezpieczne dla ryb i innych organizmów wodnych.</w:t>
      </w:r>
    </w:p>
    <w:p w14:paraId="63B3DBAA" w14:textId="77777777" w:rsidR="003E2B47" w:rsidRPr="00BE15AB" w:rsidRDefault="003E2B47" w:rsidP="003E2B47">
      <w:pPr>
        <w:tabs>
          <w:tab w:val="clear" w:pos="567"/>
        </w:tabs>
        <w:spacing w:line="240" w:lineRule="auto"/>
        <w:rPr>
          <w:szCs w:val="22"/>
        </w:rPr>
      </w:pPr>
    </w:p>
    <w:p w14:paraId="05FF05E4" w14:textId="77777777" w:rsidR="003E2B47" w:rsidRPr="00BE15AB" w:rsidRDefault="003E2B47" w:rsidP="003E2B47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>
        <w:t xml:space="preserve">krajowego </w:t>
      </w:r>
      <w:r w:rsidRPr="00F176BE">
        <w:t>system</w:t>
      </w:r>
      <w:r>
        <w:t>u odbioru odpadów</w:t>
      </w:r>
      <w:r w:rsidRPr="00F176BE">
        <w:t xml:space="preserve"> w celu usunięcia niewykorzystanego weterynaryjnego produktu leczniczego lub materiałów odpadowych pochodzących z jego zastosowania w sposób zgodny z obowiązującymi przepisami oraz krajowymi systemami </w:t>
      </w:r>
      <w:r>
        <w:t>odbioru</w:t>
      </w:r>
      <w:r w:rsidRPr="00F176BE">
        <w:t xml:space="preserve"> odpadów dotyczącymi danego weterynaryjnego produktu leczniczego.</w:t>
      </w:r>
    </w:p>
    <w:p w14:paraId="3D82ECE3" w14:textId="77777777" w:rsidR="00C03C50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CC4C88E" w14:textId="77777777" w:rsidR="00173A30" w:rsidRPr="00BE15AB" w:rsidRDefault="00173A3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2C6A817" w14:textId="77777777" w:rsidR="00C03C50" w:rsidRPr="00BE15AB" w:rsidRDefault="00C03C50" w:rsidP="00C03C50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7A2B5C35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B7C305E" w14:textId="77777777" w:rsidR="003E2B47" w:rsidRPr="00E927CB" w:rsidRDefault="003E2B47" w:rsidP="003E2B47">
      <w:pPr>
        <w:rPr>
          <w:szCs w:val="22"/>
        </w:rPr>
      </w:pPr>
      <w:r w:rsidRPr="00E927CB">
        <w:rPr>
          <w:szCs w:val="22"/>
        </w:rPr>
        <w:t>Elanco Animal Health GmbH</w:t>
      </w:r>
    </w:p>
    <w:p w14:paraId="21BED482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0EB5638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4F5777C3" w14:textId="77777777" w:rsidR="00C03C50" w:rsidRDefault="00C03C50" w:rsidP="00C03C50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28363720" w14:textId="77777777" w:rsidR="0035704B" w:rsidRPr="00BE15AB" w:rsidRDefault="0035704B" w:rsidP="00C03C50">
      <w:pPr>
        <w:pStyle w:val="Style1"/>
      </w:pPr>
    </w:p>
    <w:p w14:paraId="1E0E346D" w14:textId="77777777" w:rsidR="003E2B47" w:rsidRDefault="0035704B" w:rsidP="0035704B">
      <w:pPr>
        <w:outlineLvl w:val="0"/>
      </w:pPr>
      <w:r>
        <w:t xml:space="preserve">EU/2/03/039/005-012 </w:t>
      </w:r>
    </w:p>
    <w:p w14:paraId="0CD1F843" w14:textId="77777777" w:rsidR="003E2B47" w:rsidRDefault="0035704B" w:rsidP="0035704B">
      <w:pPr>
        <w:outlineLvl w:val="0"/>
        <w:rPr>
          <w:snapToGrid w:val="0"/>
        </w:rPr>
      </w:pPr>
      <w:r>
        <w:t>EU/2/03/039/015-018</w:t>
      </w:r>
      <w:r>
        <w:rPr>
          <w:snapToGrid w:val="0"/>
        </w:rPr>
        <w:t xml:space="preserve"> </w:t>
      </w:r>
    </w:p>
    <w:p w14:paraId="7C1A4E53" w14:textId="77777777" w:rsidR="003E2B47" w:rsidRDefault="0035704B" w:rsidP="0035704B">
      <w:pPr>
        <w:outlineLvl w:val="0"/>
        <w:rPr>
          <w:snapToGrid w:val="0"/>
        </w:rPr>
      </w:pPr>
      <w:r>
        <w:rPr>
          <w:snapToGrid w:val="0"/>
        </w:rPr>
        <w:t xml:space="preserve">EU/2/03/039/023-030 </w:t>
      </w:r>
    </w:p>
    <w:p w14:paraId="46BDB219" w14:textId="5BBCFBF2" w:rsidR="0035704B" w:rsidRDefault="0035704B" w:rsidP="0035704B">
      <w:pPr>
        <w:outlineLvl w:val="0"/>
      </w:pPr>
      <w:r>
        <w:rPr>
          <w:szCs w:val="22"/>
        </w:rPr>
        <w:t>EU/2/03/039/039-054</w:t>
      </w:r>
    </w:p>
    <w:p w14:paraId="699A5060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00A593A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080DE48F" w14:textId="77777777" w:rsidR="00C03C50" w:rsidRPr="00BE15AB" w:rsidRDefault="00C03C50" w:rsidP="00C03C50">
      <w:pPr>
        <w:pStyle w:val="Style1"/>
      </w:pPr>
      <w:bookmarkStart w:id="3" w:name="_Hlk188444694"/>
      <w:r w:rsidRPr="00BE15AB">
        <w:t>8.</w:t>
      </w:r>
      <w:r w:rsidRPr="00BE15AB">
        <w:tab/>
        <w:t>DATA WYDANIA PIERWSZEGO POZWOLENIA NA DOPUSZCZENIE DO OBROTU</w:t>
      </w:r>
    </w:p>
    <w:p w14:paraId="1805F74D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7ED050A" w14:textId="4FC9538E" w:rsidR="00C03C50" w:rsidRPr="00BE15AB" w:rsidRDefault="0035704B" w:rsidP="00C03C50">
      <w:pPr>
        <w:tabs>
          <w:tab w:val="clear" w:pos="567"/>
        </w:tabs>
        <w:spacing w:line="240" w:lineRule="auto"/>
        <w:rPr>
          <w:szCs w:val="22"/>
        </w:rPr>
      </w:pPr>
      <w:r>
        <w:t>02</w:t>
      </w:r>
      <w:r w:rsidR="00173A30">
        <w:t xml:space="preserve"> kwie</w:t>
      </w:r>
      <w:r w:rsidR="000B0DCA">
        <w:t>tnia</w:t>
      </w:r>
      <w:r w:rsidR="003E2B47">
        <w:t xml:space="preserve"> </w:t>
      </w:r>
      <w:r>
        <w:t>2003</w:t>
      </w:r>
    </w:p>
    <w:bookmarkEnd w:id="3"/>
    <w:p w14:paraId="1AE70FBA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2D5303CD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4C58FE9" w14:textId="77777777" w:rsidR="00C03C50" w:rsidRPr="00BE15AB" w:rsidRDefault="00C03C50" w:rsidP="00C03C50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>
        <w:t>YN</w:t>
      </w:r>
      <w:r w:rsidRPr="00BE15AB">
        <w:t>ARYJNEGO</w:t>
      </w:r>
    </w:p>
    <w:p w14:paraId="0A2EBF94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7D586EB" w14:textId="57B34BF7" w:rsidR="00C03C50" w:rsidRPr="00BE15AB" w:rsidRDefault="00CE0F8C" w:rsidP="00C03C50">
      <w:pPr>
        <w:tabs>
          <w:tab w:val="clear" w:pos="567"/>
        </w:tabs>
        <w:spacing w:line="240" w:lineRule="auto"/>
      </w:pPr>
      <w:r>
        <w:rPr>
          <w:rStyle w:val="cf01"/>
          <w:rFonts w:ascii="Times New Roman" w:hAnsi="Times New Roman" w:cs="Times New Roman"/>
          <w:sz w:val="22"/>
          <w:szCs w:val="22"/>
        </w:rPr>
        <w:t>31 stycznia 2025</w:t>
      </w:r>
    </w:p>
    <w:p w14:paraId="2927DAB2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78FD97E8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33B996CB" w14:textId="77777777" w:rsidR="00C03C50" w:rsidRPr="00BE15AB" w:rsidRDefault="00C03C50" w:rsidP="00C03C50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71DAB8CB" w14:textId="77777777" w:rsidR="00C03C50" w:rsidRPr="00BE15AB" w:rsidRDefault="00C03C50" w:rsidP="00C03C50">
      <w:pPr>
        <w:tabs>
          <w:tab w:val="clear" w:pos="567"/>
        </w:tabs>
        <w:spacing w:line="240" w:lineRule="auto"/>
        <w:rPr>
          <w:szCs w:val="22"/>
        </w:rPr>
      </w:pPr>
    </w:p>
    <w:p w14:paraId="6EF035C9" w14:textId="242A4DA6" w:rsidR="00C03C50" w:rsidRPr="00BE15AB" w:rsidRDefault="00C03C50" w:rsidP="00C03C50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>
        <w:t>na receptę weterynaryjną.</w:t>
      </w:r>
    </w:p>
    <w:p w14:paraId="0875E4AE" w14:textId="77777777" w:rsidR="00C03C50" w:rsidRPr="00BE15AB" w:rsidRDefault="00C03C50" w:rsidP="00C03C50">
      <w:pPr>
        <w:ind w:right="-318"/>
        <w:rPr>
          <w:szCs w:val="22"/>
        </w:rPr>
      </w:pPr>
    </w:p>
    <w:p w14:paraId="2DD296A4" w14:textId="77777777" w:rsidR="00C03C50" w:rsidRDefault="00C03C50" w:rsidP="00C03C50">
      <w:pPr>
        <w:ind w:right="-318"/>
        <w:rPr>
          <w:i/>
          <w:szCs w:val="22"/>
        </w:rPr>
      </w:pPr>
      <w:r w:rsidRPr="00BE15AB">
        <w:lastRenderedPageBreak/>
        <w:t>Szczegółowe informacje dotyczące powyższego weterynaryjnego produktu leczniczego są dostępne w unijnej bazie danych produktów</w:t>
      </w:r>
      <w:r>
        <w:t xml:space="preserve"> </w:t>
      </w:r>
      <w:r>
        <w:rPr>
          <w:szCs w:val="22"/>
        </w:rPr>
        <w:t>(</w:t>
      </w:r>
      <w:hyperlink r:id="rId18" w:history="1">
        <w:r w:rsidRPr="00AD768B">
          <w:rPr>
            <w:rStyle w:val="Hyperlink"/>
            <w:i/>
            <w:iCs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05F48C5" w14:textId="6F1859AB" w:rsidR="00DF6526" w:rsidRPr="00DF6526" w:rsidRDefault="00DF6526" w:rsidP="00DF6526">
      <w:pPr>
        <w:ind w:right="-318"/>
        <w:rPr>
          <w:szCs w:val="22"/>
        </w:rPr>
      </w:pPr>
    </w:p>
    <w:p w14:paraId="02777188" w14:textId="77777777" w:rsidR="00DF6526" w:rsidRPr="00DF6526" w:rsidRDefault="00DF6526" w:rsidP="00DF6526">
      <w:pPr>
        <w:ind w:right="-318"/>
        <w:rPr>
          <w:szCs w:val="22"/>
        </w:rPr>
      </w:pPr>
      <w:r w:rsidRPr="00DF6526">
        <w:rPr>
          <w:szCs w:val="22"/>
        </w:rPr>
        <w:t>Pozwolenie na dopuszczenie do obrotu wydane przez Komisję Europejską</w:t>
      </w:r>
    </w:p>
    <w:p w14:paraId="2647DEC6" w14:textId="77777777" w:rsidR="00DF6526" w:rsidRPr="00BE15AB" w:rsidRDefault="00DF6526" w:rsidP="00C03C50">
      <w:pPr>
        <w:ind w:right="-318"/>
        <w:rPr>
          <w:szCs w:val="22"/>
        </w:rPr>
      </w:pPr>
    </w:p>
    <w:p w14:paraId="37D950B8" w14:textId="143EFAD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Sect="00E03F92"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0844" w14:textId="77777777" w:rsidR="001C4C09" w:rsidRDefault="001C4C09">
      <w:pPr>
        <w:spacing w:line="240" w:lineRule="auto"/>
      </w:pPr>
      <w:r>
        <w:separator/>
      </w:r>
    </w:p>
  </w:endnote>
  <w:endnote w:type="continuationSeparator" w:id="0">
    <w:p w14:paraId="0380C72D" w14:textId="77777777" w:rsidR="001C4C09" w:rsidRDefault="001C4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36C5" w14:textId="798D2C60" w:rsidR="006220E1" w:rsidRPr="00BE15AB" w:rsidRDefault="006220E1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AE6E0C">
      <w:rPr>
        <w:rFonts w:ascii="Times New Roman" w:hAnsi="Times New Roman"/>
        <w:noProof/>
      </w:rPr>
      <w:t>16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94DA" w14:textId="77777777" w:rsidR="006220E1" w:rsidRPr="00BE15AB" w:rsidRDefault="006220E1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A65C" w14:textId="77777777" w:rsidR="001C4C09" w:rsidRDefault="001C4C09">
      <w:pPr>
        <w:spacing w:line="240" w:lineRule="auto"/>
      </w:pPr>
      <w:r>
        <w:separator/>
      </w:r>
    </w:p>
  </w:footnote>
  <w:footnote w:type="continuationSeparator" w:id="0">
    <w:p w14:paraId="5C595443" w14:textId="77777777" w:rsidR="001C4C09" w:rsidRDefault="001C4C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AB2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04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A3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DA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9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46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6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E7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04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24A2B4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53A2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6C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4E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4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03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AA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CB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14F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9EC74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3B2E4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F5E99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BE14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FD20A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6F869C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9BADC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75883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1D430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797C78"/>
    <w:multiLevelType w:val="hybridMultilevel"/>
    <w:tmpl w:val="93942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6613B"/>
    <w:multiLevelType w:val="hybridMultilevel"/>
    <w:tmpl w:val="C03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4E7E"/>
    <w:multiLevelType w:val="hybridMultilevel"/>
    <w:tmpl w:val="F1F85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3193C"/>
    <w:multiLevelType w:val="hybridMultilevel"/>
    <w:tmpl w:val="70584BD4"/>
    <w:lvl w:ilvl="0" w:tplc="40B00F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0430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6E028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A325D8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B63C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D487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4C070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A769A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0A48E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5C14B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296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322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986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E3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E5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27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A0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EF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9D176D7"/>
    <w:multiLevelType w:val="hybridMultilevel"/>
    <w:tmpl w:val="E8BC0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80B29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2C0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C6A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8E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CE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9C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A2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0C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24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B16A05"/>
    <w:multiLevelType w:val="hybridMultilevel"/>
    <w:tmpl w:val="328A3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E48C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C48C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2698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3EC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3E76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1071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848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3658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745D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0E640E"/>
    <w:multiLevelType w:val="hybridMultilevel"/>
    <w:tmpl w:val="73D0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64B37"/>
    <w:multiLevelType w:val="hybridMultilevel"/>
    <w:tmpl w:val="6D20E0BE"/>
    <w:lvl w:ilvl="0" w:tplc="7A767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67A3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63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4C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6F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A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61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4C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E3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3A9"/>
    <w:multiLevelType w:val="hybridMultilevel"/>
    <w:tmpl w:val="E3BA04EE"/>
    <w:lvl w:ilvl="0" w:tplc="79F4210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7EE180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1B0A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C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07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45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4C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F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A0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4DAE5508"/>
    <w:multiLevelType w:val="hybridMultilevel"/>
    <w:tmpl w:val="DA0EE772"/>
    <w:lvl w:ilvl="0" w:tplc="7242D4C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20AD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667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D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E0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A4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6B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A7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1A0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B1C69D2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82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E0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80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E2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CB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C0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0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0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1D26"/>
    <w:multiLevelType w:val="hybridMultilevel"/>
    <w:tmpl w:val="2E749F0C"/>
    <w:lvl w:ilvl="0" w:tplc="9E74768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9BA0A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925C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93295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C6FD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CB40FC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124D2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38869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C70F1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6E2C03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A6AC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90C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8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C3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A5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60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E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247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30B274F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90E85B6" w:tentative="1">
      <w:start w:val="1"/>
      <w:numFmt w:val="lowerLetter"/>
      <w:lvlText w:val="%2."/>
      <w:lvlJc w:val="left"/>
      <w:pPr>
        <w:ind w:left="1440" w:hanging="360"/>
      </w:pPr>
    </w:lvl>
    <w:lvl w:ilvl="2" w:tplc="FF6C754E" w:tentative="1">
      <w:start w:val="1"/>
      <w:numFmt w:val="lowerRoman"/>
      <w:lvlText w:val="%3."/>
      <w:lvlJc w:val="right"/>
      <w:pPr>
        <w:ind w:left="2160" w:hanging="180"/>
      </w:pPr>
    </w:lvl>
    <w:lvl w:ilvl="3" w:tplc="D408C260" w:tentative="1">
      <w:start w:val="1"/>
      <w:numFmt w:val="decimal"/>
      <w:lvlText w:val="%4."/>
      <w:lvlJc w:val="left"/>
      <w:pPr>
        <w:ind w:left="2880" w:hanging="360"/>
      </w:pPr>
    </w:lvl>
    <w:lvl w:ilvl="4" w:tplc="7B1EAC70" w:tentative="1">
      <w:start w:val="1"/>
      <w:numFmt w:val="lowerLetter"/>
      <w:lvlText w:val="%5."/>
      <w:lvlJc w:val="left"/>
      <w:pPr>
        <w:ind w:left="3600" w:hanging="360"/>
      </w:pPr>
    </w:lvl>
    <w:lvl w:ilvl="5" w:tplc="D80CEA90" w:tentative="1">
      <w:start w:val="1"/>
      <w:numFmt w:val="lowerRoman"/>
      <w:lvlText w:val="%6."/>
      <w:lvlJc w:val="right"/>
      <w:pPr>
        <w:ind w:left="4320" w:hanging="180"/>
      </w:pPr>
    </w:lvl>
    <w:lvl w:ilvl="6" w:tplc="36A8510A" w:tentative="1">
      <w:start w:val="1"/>
      <w:numFmt w:val="decimal"/>
      <w:lvlText w:val="%7."/>
      <w:lvlJc w:val="left"/>
      <w:pPr>
        <w:ind w:left="5040" w:hanging="360"/>
      </w:pPr>
    </w:lvl>
    <w:lvl w:ilvl="7" w:tplc="6FDA792E" w:tentative="1">
      <w:start w:val="1"/>
      <w:numFmt w:val="lowerLetter"/>
      <w:lvlText w:val="%8."/>
      <w:lvlJc w:val="left"/>
      <w:pPr>
        <w:ind w:left="5760" w:hanging="360"/>
      </w:pPr>
    </w:lvl>
    <w:lvl w:ilvl="8" w:tplc="53F8E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9D8E01C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3A1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A6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81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E2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647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4B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8B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24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6DC91120"/>
    <w:multiLevelType w:val="hybridMultilevel"/>
    <w:tmpl w:val="C2921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B76EB"/>
    <w:multiLevelType w:val="hybridMultilevel"/>
    <w:tmpl w:val="CC66055E"/>
    <w:lvl w:ilvl="0" w:tplc="5AF4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8C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7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8A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8F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4C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A2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4B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689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0AD04D7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1421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C4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E8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0F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E5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62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69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65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5E9CFD98">
      <w:start w:val="1"/>
      <w:numFmt w:val="decimal"/>
      <w:lvlText w:val="%1."/>
      <w:lvlJc w:val="left"/>
      <w:pPr>
        <w:ind w:left="720" w:hanging="360"/>
      </w:pPr>
    </w:lvl>
    <w:lvl w:ilvl="1" w:tplc="6124395C" w:tentative="1">
      <w:start w:val="1"/>
      <w:numFmt w:val="lowerLetter"/>
      <w:lvlText w:val="%2."/>
      <w:lvlJc w:val="left"/>
      <w:pPr>
        <w:ind w:left="1440" w:hanging="360"/>
      </w:pPr>
    </w:lvl>
    <w:lvl w:ilvl="2" w:tplc="E8AEF3CA" w:tentative="1">
      <w:start w:val="1"/>
      <w:numFmt w:val="lowerRoman"/>
      <w:lvlText w:val="%3."/>
      <w:lvlJc w:val="right"/>
      <w:pPr>
        <w:ind w:left="2160" w:hanging="180"/>
      </w:pPr>
    </w:lvl>
    <w:lvl w:ilvl="3" w:tplc="4ADE8CA2" w:tentative="1">
      <w:start w:val="1"/>
      <w:numFmt w:val="decimal"/>
      <w:lvlText w:val="%4."/>
      <w:lvlJc w:val="left"/>
      <w:pPr>
        <w:ind w:left="2880" w:hanging="360"/>
      </w:pPr>
    </w:lvl>
    <w:lvl w:ilvl="4" w:tplc="85E2C350" w:tentative="1">
      <w:start w:val="1"/>
      <w:numFmt w:val="lowerLetter"/>
      <w:lvlText w:val="%5."/>
      <w:lvlJc w:val="left"/>
      <w:pPr>
        <w:ind w:left="3600" w:hanging="360"/>
      </w:pPr>
    </w:lvl>
    <w:lvl w:ilvl="5" w:tplc="640CB672" w:tentative="1">
      <w:start w:val="1"/>
      <w:numFmt w:val="lowerRoman"/>
      <w:lvlText w:val="%6."/>
      <w:lvlJc w:val="right"/>
      <w:pPr>
        <w:ind w:left="4320" w:hanging="180"/>
      </w:pPr>
    </w:lvl>
    <w:lvl w:ilvl="6" w:tplc="DCC62972" w:tentative="1">
      <w:start w:val="1"/>
      <w:numFmt w:val="decimal"/>
      <w:lvlText w:val="%7."/>
      <w:lvlJc w:val="left"/>
      <w:pPr>
        <w:ind w:left="5040" w:hanging="360"/>
      </w:pPr>
    </w:lvl>
    <w:lvl w:ilvl="7" w:tplc="4942D3A6" w:tentative="1">
      <w:start w:val="1"/>
      <w:numFmt w:val="lowerLetter"/>
      <w:lvlText w:val="%8."/>
      <w:lvlJc w:val="left"/>
      <w:pPr>
        <w:ind w:left="5760" w:hanging="360"/>
      </w:pPr>
    </w:lvl>
    <w:lvl w:ilvl="8" w:tplc="19B23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80F95"/>
    <w:multiLevelType w:val="hybridMultilevel"/>
    <w:tmpl w:val="4D3A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A5987"/>
    <w:multiLevelType w:val="hybridMultilevel"/>
    <w:tmpl w:val="D73EEE10"/>
    <w:lvl w:ilvl="0" w:tplc="7E2CDA8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AA9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6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8A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89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840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6A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86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F0C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5262279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7374326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444077646">
    <w:abstractNumId w:val="39"/>
  </w:num>
  <w:num w:numId="4" w16cid:durableId="901720464">
    <w:abstractNumId w:val="38"/>
  </w:num>
  <w:num w:numId="5" w16cid:durableId="899945792">
    <w:abstractNumId w:val="17"/>
  </w:num>
  <w:num w:numId="6" w16cid:durableId="882444428">
    <w:abstractNumId w:val="30"/>
  </w:num>
  <w:num w:numId="7" w16cid:durableId="1704020714">
    <w:abstractNumId w:val="25"/>
  </w:num>
  <w:num w:numId="8" w16cid:durableId="380904748">
    <w:abstractNumId w:val="12"/>
  </w:num>
  <w:num w:numId="9" w16cid:durableId="1859000790">
    <w:abstractNumId w:val="36"/>
  </w:num>
  <w:num w:numId="10" w16cid:durableId="280917883">
    <w:abstractNumId w:val="37"/>
  </w:num>
  <w:num w:numId="11" w16cid:durableId="1981615073">
    <w:abstractNumId w:val="20"/>
  </w:num>
  <w:num w:numId="12" w16cid:durableId="1688481897">
    <w:abstractNumId w:val="19"/>
  </w:num>
  <w:num w:numId="13" w16cid:durableId="1781610648">
    <w:abstractNumId w:val="3"/>
  </w:num>
  <w:num w:numId="14" w16cid:durableId="1343389614">
    <w:abstractNumId w:val="35"/>
  </w:num>
  <w:num w:numId="15" w16cid:durableId="1782452684">
    <w:abstractNumId w:val="24"/>
  </w:num>
  <w:num w:numId="16" w16cid:durableId="35593275">
    <w:abstractNumId w:val="41"/>
  </w:num>
  <w:num w:numId="17" w16cid:durableId="819540362">
    <w:abstractNumId w:val="13"/>
  </w:num>
  <w:num w:numId="18" w16cid:durableId="2092657525">
    <w:abstractNumId w:val="1"/>
  </w:num>
  <w:num w:numId="19" w16cid:durableId="1520898395">
    <w:abstractNumId w:val="21"/>
  </w:num>
  <w:num w:numId="20" w16cid:durableId="1015308850">
    <w:abstractNumId w:val="4"/>
  </w:num>
  <w:num w:numId="21" w16cid:durableId="1402291976">
    <w:abstractNumId w:val="11"/>
  </w:num>
  <w:num w:numId="22" w16cid:durableId="186525736">
    <w:abstractNumId w:val="32"/>
  </w:num>
  <w:num w:numId="23" w16cid:durableId="1385833065">
    <w:abstractNumId w:val="42"/>
  </w:num>
  <w:num w:numId="24" w16cid:durableId="1063599071">
    <w:abstractNumId w:val="27"/>
  </w:num>
  <w:num w:numId="25" w16cid:durableId="676276892">
    <w:abstractNumId w:val="14"/>
  </w:num>
  <w:num w:numId="26" w16cid:durableId="1920209347">
    <w:abstractNumId w:val="16"/>
  </w:num>
  <w:num w:numId="27" w16cid:durableId="1999576324">
    <w:abstractNumId w:val="6"/>
  </w:num>
  <w:num w:numId="28" w16cid:durableId="1763527588">
    <w:abstractNumId w:val="10"/>
  </w:num>
  <w:num w:numId="29" w16cid:durableId="9836324">
    <w:abstractNumId w:val="28"/>
  </w:num>
  <w:num w:numId="30" w16cid:durableId="1172792349">
    <w:abstractNumId w:val="45"/>
  </w:num>
  <w:num w:numId="31" w16cid:durableId="224873866">
    <w:abstractNumId w:val="46"/>
  </w:num>
  <w:num w:numId="32" w16cid:durableId="1089153140">
    <w:abstractNumId w:val="26"/>
  </w:num>
  <w:num w:numId="33" w16cid:durableId="441655532">
    <w:abstractNumId w:val="34"/>
  </w:num>
  <w:num w:numId="34" w16cid:durableId="1338727125">
    <w:abstractNumId w:val="29"/>
  </w:num>
  <w:num w:numId="35" w16cid:durableId="859316376">
    <w:abstractNumId w:val="2"/>
  </w:num>
  <w:num w:numId="36" w16cid:durableId="2142116458">
    <w:abstractNumId w:val="5"/>
  </w:num>
  <w:num w:numId="37" w16cid:durableId="1339963079">
    <w:abstractNumId w:val="31"/>
  </w:num>
  <w:num w:numId="38" w16cid:durableId="233898867">
    <w:abstractNumId w:val="23"/>
  </w:num>
  <w:num w:numId="39" w16cid:durableId="1130898717">
    <w:abstractNumId w:val="43"/>
  </w:num>
  <w:num w:numId="40" w16cid:durableId="751850753">
    <w:abstractNumId w:val="33"/>
  </w:num>
  <w:num w:numId="41" w16cid:durableId="828638411">
    <w:abstractNumId w:val="44"/>
  </w:num>
  <w:num w:numId="42" w16cid:durableId="928080841">
    <w:abstractNumId w:val="7"/>
  </w:num>
  <w:num w:numId="43" w16cid:durableId="194856697">
    <w:abstractNumId w:val="40"/>
  </w:num>
  <w:num w:numId="44" w16cid:durableId="2042436572">
    <w:abstractNumId w:val="15"/>
  </w:num>
  <w:num w:numId="45" w16cid:durableId="2105955182">
    <w:abstractNumId w:val="9"/>
  </w:num>
  <w:num w:numId="46" w16cid:durableId="868108687">
    <w:abstractNumId w:val="18"/>
  </w:num>
  <w:num w:numId="47" w16cid:durableId="1573809175">
    <w:abstractNumId w:val="8"/>
  </w:num>
  <w:num w:numId="48" w16cid:durableId="21003673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DD1"/>
    <w:rsid w:val="00003981"/>
    <w:rsid w:val="00021B82"/>
    <w:rsid w:val="00024777"/>
    <w:rsid w:val="00024E21"/>
    <w:rsid w:val="0002555C"/>
    <w:rsid w:val="00027100"/>
    <w:rsid w:val="00033A77"/>
    <w:rsid w:val="00036C50"/>
    <w:rsid w:val="00042E60"/>
    <w:rsid w:val="000454E7"/>
    <w:rsid w:val="00046EA2"/>
    <w:rsid w:val="000516CD"/>
    <w:rsid w:val="00052D2B"/>
    <w:rsid w:val="00054F55"/>
    <w:rsid w:val="00055801"/>
    <w:rsid w:val="00056102"/>
    <w:rsid w:val="0005731C"/>
    <w:rsid w:val="00062945"/>
    <w:rsid w:val="000678CD"/>
    <w:rsid w:val="00074AAD"/>
    <w:rsid w:val="000756EB"/>
    <w:rsid w:val="00075A4D"/>
    <w:rsid w:val="0007666D"/>
    <w:rsid w:val="00077951"/>
    <w:rsid w:val="00080453"/>
    <w:rsid w:val="0008169A"/>
    <w:rsid w:val="00082200"/>
    <w:rsid w:val="00082CC3"/>
    <w:rsid w:val="000849E6"/>
    <w:rsid w:val="000850C7"/>
    <w:rsid w:val="000860CE"/>
    <w:rsid w:val="00092A37"/>
    <w:rsid w:val="000938A6"/>
    <w:rsid w:val="00096E78"/>
    <w:rsid w:val="00097C1E"/>
    <w:rsid w:val="000A1DF5"/>
    <w:rsid w:val="000A5BB0"/>
    <w:rsid w:val="000B0DCA"/>
    <w:rsid w:val="000B2E88"/>
    <w:rsid w:val="000B7873"/>
    <w:rsid w:val="000C02A1"/>
    <w:rsid w:val="000C1D4F"/>
    <w:rsid w:val="000C3D0C"/>
    <w:rsid w:val="000C3ED7"/>
    <w:rsid w:val="000C517C"/>
    <w:rsid w:val="000C55E6"/>
    <w:rsid w:val="000C687A"/>
    <w:rsid w:val="000C7BE5"/>
    <w:rsid w:val="000D41D8"/>
    <w:rsid w:val="000D4AFA"/>
    <w:rsid w:val="000D67D0"/>
    <w:rsid w:val="000E195C"/>
    <w:rsid w:val="000E2260"/>
    <w:rsid w:val="000E3602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78D1"/>
    <w:rsid w:val="001109DF"/>
    <w:rsid w:val="00111185"/>
    <w:rsid w:val="00115782"/>
    <w:rsid w:val="00116BE8"/>
    <w:rsid w:val="00124F36"/>
    <w:rsid w:val="00125666"/>
    <w:rsid w:val="00125C80"/>
    <w:rsid w:val="00131F67"/>
    <w:rsid w:val="00133631"/>
    <w:rsid w:val="001359C0"/>
    <w:rsid w:val="0013799F"/>
    <w:rsid w:val="00140DF6"/>
    <w:rsid w:val="00142A1F"/>
    <w:rsid w:val="00143757"/>
    <w:rsid w:val="00145C3F"/>
    <w:rsid w:val="00145D34"/>
    <w:rsid w:val="00146284"/>
    <w:rsid w:val="0014690F"/>
    <w:rsid w:val="0015098E"/>
    <w:rsid w:val="0016167E"/>
    <w:rsid w:val="00164543"/>
    <w:rsid w:val="001674D3"/>
    <w:rsid w:val="001713F7"/>
    <w:rsid w:val="00172771"/>
    <w:rsid w:val="00173A30"/>
    <w:rsid w:val="00175264"/>
    <w:rsid w:val="0017618A"/>
    <w:rsid w:val="001803D2"/>
    <w:rsid w:val="00180845"/>
    <w:rsid w:val="00180EE5"/>
    <w:rsid w:val="0018228B"/>
    <w:rsid w:val="00183157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A3EDA"/>
    <w:rsid w:val="001A60B8"/>
    <w:rsid w:val="001B1C77"/>
    <w:rsid w:val="001B26EB"/>
    <w:rsid w:val="001B48EA"/>
    <w:rsid w:val="001B6F4A"/>
    <w:rsid w:val="001B74F6"/>
    <w:rsid w:val="001B77C1"/>
    <w:rsid w:val="001B7F85"/>
    <w:rsid w:val="001C03FB"/>
    <w:rsid w:val="001C34AE"/>
    <w:rsid w:val="001C4C09"/>
    <w:rsid w:val="001C5288"/>
    <w:rsid w:val="001C5B03"/>
    <w:rsid w:val="001D4CE4"/>
    <w:rsid w:val="001D6052"/>
    <w:rsid w:val="001D6D96"/>
    <w:rsid w:val="001E5621"/>
    <w:rsid w:val="001E5EB0"/>
    <w:rsid w:val="001F3239"/>
    <w:rsid w:val="001F3EF9"/>
    <w:rsid w:val="001F627D"/>
    <w:rsid w:val="001F6622"/>
    <w:rsid w:val="00200EFE"/>
    <w:rsid w:val="0020126C"/>
    <w:rsid w:val="002022ED"/>
    <w:rsid w:val="00205D19"/>
    <w:rsid w:val="00206F93"/>
    <w:rsid w:val="002100FC"/>
    <w:rsid w:val="00213890"/>
    <w:rsid w:val="002143CF"/>
    <w:rsid w:val="00214E52"/>
    <w:rsid w:val="002207C0"/>
    <w:rsid w:val="0022306F"/>
    <w:rsid w:val="0022368F"/>
    <w:rsid w:val="0022380D"/>
    <w:rsid w:val="00224B93"/>
    <w:rsid w:val="002278C0"/>
    <w:rsid w:val="00231F18"/>
    <w:rsid w:val="0023676E"/>
    <w:rsid w:val="00237BA6"/>
    <w:rsid w:val="002414B6"/>
    <w:rsid w:val="002422EB"/>
    <w:rsid w:val="00242397"/>
    <w:rsid w:val="00242DFF"/>
    <w:rsid w:val="00247A48"/>
    <w:rsid w:val="00250189"/>
    <w:rsid w:val="00250DD1"/>
    <w:rsid w:val="00251183"/>
    <w:rsid w:val="00251689"/>
    <w:rsid w:val="0025267C"/>
    <w:rsid w:val="002536BC"/>
    <w:rsid w:val="00253B6B"/>
    <w:rsid w:val="002571A5"/>
    <w:rsid w:val="00263291"/>
    <w:rsid w:val="00265656"/>
    <w:rsid w:val="00265E77"/>
    <w:rsid w:val="00266155"/>
    <w:rsid w:val="002679B9"/>
    <w:rsid w:val="0027270B"/>
    <w:rsid w:val="002738D7"/>
    <w:rsid w:val="00274D17"/>
    <w:rsid w:val="00282E7B"/>
    <w:rsid w:val="002838C8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5C86"/>
    <w:rsid w:val="002A710D"/>
    <w:rsid w:val="002B0F11"/>
    <w:rsid w:val="002B2E17"/>
    <w:rsid w:val="002B439F"/>
    <w:rsid w:val="002B6560"/>
    <w:rsid w:val="002B79A8"/>
    <w:rsid w:val="002C55FF"/>
    <w:rsid w:val="002C592B"/>
    <w:rsid w:val="002C7845"/>
    <w:rsid w:val="002C7F61"/>
    <w:rsid w:val="002C7FFB"/>
    <w:rsid w:val="002D300D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07F"/>
    <w:rsid w:val="00305AB2"/>
    <w:rsid w:val="0030642C"/>
    <w:rsid w:val="0031032B"/>
    <w:rsid w:val="00315438"/>
    <w:rsid w:val="00316E87"/>
    <w:rsid w:val="00322D92"/>
    <w:rsid w:val="0032453E"/>
    <w:rsid w:val="00325053"/>
    <w:rsid w:val="003256AC"/>
    <w:rsid w:val="0033129D"/>
    <w:rsid w:val="003320ED"/>
    <w:rsid w:val="0033480E"/>
    <w:rsid w:val="00336FAB"/>
    <w:rsid w:val="00337123"/>
    <w:rsid w:val="00341866"/>
    <w:rsid w:val="00342C0C"/>
    <w:rsid w:val="00350911"/>
    <w:rsid w:val="003535E0"/>
    <w:rsid w:val="003543AC"/>
    <w:rsid w:val="00354D14"/>
    <w:rsid w:val="00355D02"/>
    <w:rsid w:val="0035704B"/>
    <w:rsid w:val="00360808"/>
    <w:rsid w:val="00360BA8"/>
    <w:rsid w:val="00366F56"/>
    <w:rsid w:val="003678BB"/>
    <w:rsid w:val="00367A12"/>
    <w:rsid w:val="003737C8"/>
    <w:rsid w:val="0037553D"/>
    <w:rsid w:val="0037589D"/>
    <w:rsid w:val="00376BB1"/>
    <w:rsid w:val="00377E23"/>
    <w:rsid w:val="003808E9"/>
    <w:rsid w:val="003817CA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971F3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2F38"/>
    <w:rsid w:val="003B48EB"/>
    <w:rsid w:val="003B5CD1"/>
    <w:rsid w:val="003B7608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E2B47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448F"/>
    <w:rsid w:val="003F4614"/>
    <w:rsid w:val="003F677F"/>
    <w:rsid w:val="004008F6"/>
    <w:rsid w:val="004034A4"/>
    <w:rsid w:val="004048C2"/>
    <w:rsid w:val="00405728"/>
    <w:rsid w:val="004063BC"/>
    <w:rsid w:val="00406B59"/>
    <w:rsid w:val="00407C22"/>
    <w:rsid w:val="004118E0"/>
    <w:rsid w:val="00412BBE"/>
    <w:rsid w:val="00414B20"/>
    <w:rsid w:val="00415603"/>
    <w:rsid w:val="0041628A"/>
    <w:rsid w:val="004166B4"/>
    <w:rsid w:val="00416C1B"/>
    <w:rsid w:val="00417DE3"/>
    <w:rsid w:val="00420850"/>
    <w:rsid w:val="0042127F"/>
    <w:rsid w:val="00423968"/>
    <w:rsid w:val="004264D8"/>
    <w:rsid w:val="00427054"/>
    <w:rsid w:val="004304B1"/>
    <w:rsid w:val="00432DA8"/>
    <w:rsid w:val="0043320A"/>
    <w:rsid w:val="004332E3"/>
    <w:rsid w:val="004371A3"/>
    <w:rsid w:val="004413FE"/>
    <w:rsid w:val="00446960"/>
    <w:rsid w:val="00446BA5"/>
    <w:rsid w:val="00446F37"/>
    <w:rsid w:val="00451652"/>
    <w:rsid w:val="004518A6"/>
    <w:rsid w:val="00453E1D"/>
    <w:rsid w:val="00454589"/>
    <w:rsid w:val="00454C3E"/>
    <w:rsid w:val="00455760"/>
    <w:rsid w:val="00456ED0"/>
    <w:rsid w:val="00457550"/>
    <w:rsid w:val="00457B74"/>
    <w:rsid w:val="00461B2A"/>
    <w:rsid w:val="004620A4"/>
    <w:rsid w:val="00463FFF"/>
    <w:rsid w:val="00473B7D"/>
    <w:rsid w:val="00474C50"/>
    <w:rsid w:val="004771F9"/>
    <w:rsid w:val="00484015"/>
    <w:rsid w:val="00486006"/>
    <w:rsid w:val="00486BAD"/>
    <w:rsid w:val="00486BBE"/>
    <w:rsid w:val="00487123"/>
    <w:rsid w:val="004914E4"/>
    <w:rsid w:val="00495A75"/>
    <w:rsid w:val="00495CAE"/>
    <w:rsid w:val="004967CD"/>
    <w:rsid w:val="00496A8A"/>
    <w:rsid w:val="00497F40"/>
    <w:rsid w:val="004A1BD5"/>
    <w:rsid w:val="004A415C"/>
    <w:rsid w:val="004A61E1"/>
    <w:rsid w:val="004B1A75"/>
    <w:rsid w:val="004B2344"/>
    <w:rsid w:val="004B4F5A"/>
    <w:rsid w:val="004B5797"/>
    <w:rsid w:val="004B5DDC"/>
    <w:rsid w:val="004B65D1"/>
    <w:rsid w:val="004B798E"/>
    <w:rsid w:val="004B7F12"/>
    <w:rsid w:val="004C1048"/>
    <w:rsid w:val="004C2ABD"/>
    <w:rsid w:val="004C5F62"/>
    <w:rsid w:val="004C6808"/>
    <w:rsid w:val="004D2A2E"/>
    <w:rsid w:val="004D3E58"/>
    <w:rsid w:val="004D6746"/>
    <w:rsid w:val="004D767B"/>
    <w:rsid w:val="004E0F32"/>
    <w:rsid w:val="004E109F"/>
    <w:rsid w:val="004E23A1"/>
    <w:rsid w:val="004E23A3"/>
    <w:rsid w:val="004E493C"/>
    <w:rsid w:val="004E623E"/>
    <w:rsid w:val="004E7092"/>
    <w:rsid w:val="004E719E"/>
    <w:rsid w:val="004E7ECE"/>
    <w:rsid w:val="004F1B3F"/>
    <w:rsid w:val="004F31DB"/>
    <w:rsid w:val="004F3FE4"/>
    <w:rsid w:val="004F4DB1"/>
    <w:rsid w:val="004F6F64"/>
    <w:rsid w:val="005004EC"/>
    <w:rsid w:val="00501477"/>
    <w:rsid w:val="00501D0E"/>
    <w:rsid w:val="00502C1A"/>
    <w:rsid w:val="00506AAE"/>
    <w:rsid w:val="00506F99"/>
    <w:rsid w:val="00514999"/>
    <w:rsid w:val="00517756"/>
    <w:rsid w:val="005202C6"/>
    <w:rsid w:val="005223F6"/>
    <w:rsid w:val="00523C53"/>
    <w:rsid w:val="00527B8F"/>
    <w:rsid w:val="005369BB"/>
    <w:rsid w:val="00537A90"/>
    <w:rsid w:val="0054134B"/>
    <w:rsid w:val="00542012"/>
    <w:rsid w:val="00543163"/>
    <w:rsid w:val="00543DF5"/>
    <w:rsid w:val="005440B2"/>
    <w:rsid w:val="00545A61"/>
    <w:rsid w:val="0055260D"/>
    <w:rsid w:val="00554F98"/>
    <w:rsid w:val="00555422"/>
    <w:rsid w:val="00555810"/>
    <w:rsid w:val="00555FB1"/>
    <w:rsid w:val="005560F0"/>
    <w:rsid w:val="00557E26"/>
    <w:rsid w:val="00560A12"/>
    <w:rsid w:val="00562DCA"/>
    <w:rsid w:val="00564744"/>
    <w:rsid w:val="0056568F"/>
    <w:rsid w:val="00572A85"/>
    <w:rsid w:val="0057436C"/>
    <w:rsid w:val="00574A5B"/>
    <w:rsid w:val="00575DE3"/>
    <w:rsid w:val="005810E8"/>
    <w:rsid w:val="00582578"/>
    <w:rsid w:val="00582E5D"/>
    <w:rsid w:val="00584443"/>
    <w:rsid w:val="0058446B"/>
    <w:rsid w:val="0058621D"/>
    <w:rsid w:val="00596F07"/>
    <w:rsid w:val="005A1346"/>
    <w:rsid w:val="005A4672"/>
    <w:rsid w:val="005A4CBE"/>
    <w:rsid w:val="005B04A8"/>
    <w:rsid w:val="005B1FD0"/>
    <w:rsid w:val="005B28AD"/>
    <w:rsid w:val="005B305E"/>
    <w:rsid w:val="005B328D"/>
    <w:rsid w:val="005B3503"/>
    <w:rsid w:val="005B3EE7"/>
    <w:rsid w:val="005B47E1"/>
    <w:rsid w:val="005B4DCD"/>
    <w:rsid w:val="005B4FAD"/>
    <w:rsid w:val="005C276A"/>
    <w:rsid w:val="005C4647"/>
    <w:rsid w:val="005C5FB9"/>
    <w:rsid w:val="005D380C"/>
    <w:rsid w:val="005D572E"/>
    <w:rsid w:val="005D6E04"/>
    <w:rsid w:val="005D7A12"/>
    <w:rsid w:val="005E0141"/>
    <w:rsid w:val="005E3CDC"/>
    <w:rsid w:val="005E53EE"/>
    <w:rsid w:val="005F0542"/>
    <w:rsid w:val="005F0F72"/>
    <w:rsid w:val="005F1C1F"/>
    <w:rsid w:val="005F346D"/>
    <w:rsid w:val="005F38FB"/>
    <w:rsid w:val="005F4665"/>
    <w:rsid w:val="005F6E25"/>
    <w:rsid w:val="005F7A59"/>
    <w:rsid w:val="00602D3B"/>
    <w:rsid w:val="0060326F"/>
    <w:rsid w:val="00606A00"/>
    <w:rsid w:val="00606EA1"/>
    <w:rsid w:val="00607D55"/>
    <w:rsid w:val="006128F0"/>
    <w:rsid w:val="00615873"/>
    <w:rsid w:val="0061726B"/>
    <w:rsid w:val="00617B81"/>
    <w:rsid w:val="0062144E"/>
    <w:rsid w:val="006220E1"/>
    <w:rsid w:val="0062387A"/>
    <w:rsid w:val="00623E95"/>
    <w:rsid w:val="006326D8"/>
    <w:rsid w:val="0063377D"/>
    <w:rsid w:val="006343DB"/>
    <w:rsid w:val="006344BE"/>
    <w:rsid w:val="00634A66"/>
    <w:rsid w:val="00636AD3"/>
    <w:rsid w:val="00640336"/>
    <w:rsid w:val="00640FC9"/>
    <w:rsid w:val="006414D3"/>
    <w:rsid w:val="006432F2"/>
    <w:rsid w:val="0065320F"/>
    <w:rsid w:val="00653D64"/>
    <w:rsid w:val="00654E13"/>
    <w:rsid w:val="00667489"/>
    <w:rsid w:val="00670972"/>
    <w:rsid w:val="00670D44"/>
    <w:rsid w:val="00673F4C"/>
    <w:rsid w:val="00674EE3"/>
    <w:rsid w:val="00676AFC"/>
    <w:rsid w:val="006801B5"/>
    <w:rsid w:val="006807CD"/>
    <w:rsid w:val="00682D43"/>
    <w:rsid w:val="00685BAF"/>
    <w:rsid w:val="00685C1D"/>
    <w:rsid w:val="00687E5C"/>
    <w:rsid w:val="00690463"/>
    <w:rsid w:val="00693DE5"/>
    <w:rsid w:val="006A0D03"/>
    <w:rsid w:val="006A41E9"/>
    <w:rsid w:val="006A70E0"/>
    <w:rsid w:val="006B0AA8"/>
    <w:rsid w:val="006B12CB"/>
    <w:rsid w:val="006B2030"/>
    <w:rsid w:val="006B2D4A"/>
    <w:rsid w:val="006B4BE1"/>
    <w:rsid w:val="006B5916"/>
    <w:rsid w:val="006B7B73"/>
    <w:rsid w:val="006B7FE2"/>
    <w:rsid w:val="006C4775"/>
    <w:rsid w:val="006C4F4A"/>
    <w:rsid w:val="006C5E80"/>
    <w:rsid w:val="006C7CEE"/>
    <w:rsid w:val="006D075E"/>
    <w:rsid w:val="006D09DC"/>
    <w:rsid w:val="006D137A"/>
    <w:rsid w:val="006D2AFB"/>
    <w:rsid w:val="006D3509"/>
    <w:rsid w:val="006D7C6E"/>
    <w:rsid w:val="006E042A"/>
    <w:rsid w:val="006E15A2"/>
    <w:rsid w:val="006E2F95"/>
    <w:rsid w:val="006F148B"/>
    <w:rsid w:val="00705EAF"/>
    <w:rsid w:val="00706254"/>
    <w:rsid w:val="0070773E"/>
    <w:rsid w:val="007101CC"/>
    <w:rsid w:val="007151CE"/>
    <w:rsid w:val="00715C55"/>
    <w:rsid w:val="00715E45"/>
    <w:rsid w:val="007167E2"/>
    <w:rsid w:val="007172CE"/>
    <w:rsid w:val="00717866"/>
    <w:rsid w:val="00724628"/>
    <w:rsid w:val="00724E3B"/>
    <w:rsid w:val="00725EEA"/>
    <w:rsid w:val="007276B6"/>
    <w:rsid w:val="00730CE9"/>
    <w:rsid w:val="0073373D"/>
    <w:rsid w:val="0073435E"/>
    <w:rsid w:val="00736B24"/>
    <w:rsid w:val="00743589"/>
    <w:rsid w:val="0074382A"/>
    <w:rsid w:val="007439DB"/>
    <w:rsid w:val="00746009"/>
    <w:rsid w:val="00746B5D"/>
    <w:rsid w:val="00752514"/>
    <w:rsid w:val="007568D8"/>
    <w:rsid w:val="00761F67"/>
    <w:rsid w:val="0076418E"/>
    <w:rsid w:val="00765316"/>
    <w:rsid w:val="0076770C"/>
    <w:rsid w:val="007708C8"/>
    <w:rsid w:val="007744CE"/>
    <w:rsid w:val="0077719D"/>
    <w:rsid w:val="00780DF0"/>
    <w:rsid w:val="007810B7"/>
    <w:rsid w:val="00782A0E"/>
    <w:rsid w:val="00782BA9"/>
    <w:rsid w:val="00782F0F"/>
    <w:rsid w:val="00783A99"/>
    <w:rsid w:val="0078538F"/>
    <w:rsid w:val="00785A3C"/>
    <w:rsid w:val="00787482"/>
    <w:rsid w:val="00787C90"/>
    <w:rsid w:val="007947F3"/>
    <w:rsid w:val="00795A3C"/>
    <w:rsid w:val="00796455"/>
    <w:rsid w:val="007A0548"/>
    <w:rsid w:val="007A286D"/>
    <w:rsid w:val="007A314D"/>
    <w:rsid w:val="007A38DF"/>
    <w:rsid w:val="007A607E"/>
    <w:rsid w:val="007B00E5"/>
    <w:rsid w:val="007B1F71"/>
    <w:rsid w:val="007B20CF"/>
    <w:rsid w:val="007B2499"/>
    <w:rsid w:val="007B72E1"/>
    <w:rsid w:val="007B783A"/>
    <w:rsid w:val="007C1B95"/>
    <w:rsid w:val="007C1D13"/>
    <w:rsid w:val="007C3DF3"/>
    <w:rsid w:val="007C796D"/>
    <w:rsid w:val="007C7AFC"/>
    <w:rsid w:val="007D5DD2"/>
    <w:rsid w:val="007D73FB"/>
    <w:rsid w:val="007E2F2D"/>
    <w:rsid w:val="007E336F"/>
    <w:rsid w:val="007F1433"/>
    <w:rsid w:val="007F1491"/>
    <w:rsid w:val="007F26F2"/>
    <w:rsid w:val="007F2F03"/>
    <w:rsid w:val="00800852"/>
    <w:rsid w:val="00800FE0"/>
    <w:rsid w:val="008066AD"/>
    <w:rsid w:val="00806AEB"/>
    <w:rsid w:val="00814AF1"/>
    <w:rsid w:val="0081517F"/>
    <w:rsid w:val="00815370"/>
    <w:rsid w:val="0082153D"/>
    <w:rsid w:val="008255AA"/>
    <w:rsid w:val="00830FF3"/>
    <w:rsid w:val="0083317D"/>
    <w:rsid w:val="008334BF"/>
    <w:rsid w:val="00836B8C"/>
    <w:rsid w:val="00840062"/>
    <w:rsid w:val="008410C5"/>
    <w:rsid w:val="008461D9"/>
    <w:rsid w:val="00846C08"/>
    <w:rsid w:val="00852BB4"/>
    <w:rsid w:val="008530E7"/>
    <w:rsid w:val="00856BDB"/>
    <w:rsid w:val="00857675"/>
    <w:rsid w:val="0085774C"/>
    <w:rsid w:val="00861C9B"/>
    <w:rsid w:val="00861E49"/>
    <w:rsid w:val="00872C48"/>
    <w:rsid w:val="0087312D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1C12"/>
    <w:rsid w:val="0089334A"/>
    <w:rsid w:val="008947AE"/>
    <w:rsid w:val="00894E3A"/>
    <w:rsid w:val="00895914"/>
    <w:rsid w:val="00895A2F"/>
    <w:rsid w:val="00896EBD"/>
    <w:rsid w:val="00897C85"/>
    <w:rsid w:val="008A2E07"/>
    <w:rsid w:val="008A5665"/>
    <w:rsid w:val="008B24A8"/>
    <w:rsid w:val="008B25E4"/>
    <w:rsid w:val="008B3D78"/>
    <w:rsid w:val="008C1A0C"/>
    <w:rsid w:val="008C261B"/>
    <w:rsid w:val="008C4FCA"/>
    <w:rsid w:val="008C530F"/>
    <w:rsid w:val="008C5408"/>
    <w:rsid w:val="008C6C37"/>
    <w:rsid w:val="008C7238"/>
    <w:rsid w:val="008C7882"/>
    <w:rsid w:val="008C79C6"/>
    <w:rsid w:val="008D2261"/>
    <w:rsid w:val="008D3AC0"/>
    <w:rsid w:val="008D4B0E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8BC"/>
    <w:rsid w:val="008F2A5A"/>
    <w:rsid w:val="008F3B80"/>
    <w:rsid w:val="008F4DEF"/>
    <w:rsid w:val="008F7287"/>
    <w:rsid w:val="008F7FB9"/>
    <w:rsid w:val="00902A4C"/>
    <w:rsid w:val="00903D0D"/>
    <w:rsid w:val="009048E1"/>
    <w:rsid w:val="0090598C"/>
    <w:rsid w:val="009071BB"/>
    <w:rsid w:val="00913885"/>
    <w:rsid w:val="00915ABF"/>
    <w:rsid w:val="00921CAD"/>
    <w:rsid w:val="00927140"/>
    <w:rsid w:val="00927E41"/>
    <w:rsid w:val="00927F60"/>
    <w:rsid w:val="009311ED"/>
    <w:rsid w:val="00931D41"/>
    <w:rsid w:val="00933D18"/>
    <w:rsid w:val="00934138"/>
    <w:rsid w:val="00942221"/>
    <w:rsid w:val="009445DC"/>
    <w:rsid w:val="00950FBB"/>
    <w:rsid w:val="00951118"/>
    <w:rsid w:val="0095122F"/>
    <w:rsid w:val="00951DF8"/>
    <w:rsid w:val="00953334"/>
    <w:rsid w:val="00953349"/>
    <w:rsid w:val="00953C4F"/>
    <w:rsid w:val="00953E4C"/>
    <w:rsid w:val="00953EA9"/>
    <w:rsid w:val="00954E0C"/>
    <w:rsid w:val="009560C5"/>
    <w:rsid w:val="00961156"/>
    <w:rsid w:val="00961D98"/>
    <w:rsid w:val="00962E71"/>
    <w:rsid w:val="00964F03"/>
    <w:rsid w:val="00966F1F"/>
    <w:rsid w:val="00967816"/>
    <w:rsid w:val="0097159E"/>
    <w:rsid w:val="00975676"/>
    <w:rsid w:val="00976467"/>
    <w:rsid w:val="00976D32"/>
    <w:rsid w:val="0098084D"/>
    <w:rsid w:val="009844F7"/>
    <w:rsid w:val="00991517"/>
    <w:rsid w:val="00991E86"/>
    <w:rsid w:val="0099266A"/>
    <w:rsid w:val="009938F7"/>
    <w:rsid w:val="009943D7"/>
    <w:rsid w:val="009A05AA"/>
    <w:rsid w:val="009A2BA2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56BC"/>
    <w:rsid w:val="009C6BFB"/>
    <w:rsid w:val="009D0C05"/>
    <w:rsid w:val="009D3A98"/>
    <w:rsid w:val="009D4BAA"/>
    <w:rsid w:val="009E2C00"/>
    <w:rsid w:val="009E49AD"/>
    <w:rsid w:val="009E4CC5"/>
    <w:rsid w:val="009E4F92"/>
    <w:rsid w:val="009E66FE"/>
    <w:rsid w:val="009E70F4"/>
    <w:rsid w:val="009E72A3"/>
    <w:rsid w:val="009F1AD2"/>
    <w:rsid w:val="00A00C78"/>
    <w:rsid w:val="00A0479E"/>
    <w:rsid w:val="00A0601D"/>
    <w:rsid w:val="00A07979"/>
    <w:rsid w:val="00A11755"/>
    <w:rsid w:val="00A207FB"/>
    <w:rsid w:val="00A24016"/>
    <w:rsid w:val="00A265BF"/>
    <w:rsid w:val="00A26F44"/>
    <w:rsid w:val="00A30C8E"/>
    <w:rsid w:val="00A32EE3"/>
    <w:rsid w:val="00A34FAB"/>
    <w:rsid w:val="00A408A2"/>
    <w:rsid w:val="00A4097C"/>
    <w:rsid w:val="00A42554"/>
    <w:rsid w:val="00A42C43"/>
    <w:rsid w:val="00A4313D"/>
    <w:rsid w:val="00A466BC"/>
    <w:rsid w:val="00A46AD3"/>
    <w:rsid w:val="00A50120"/>
    <w:rsid w:val="00A53749"/>
    <w:rsid w:val="00A543EE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148"/>
    <w:rsid w:val="00A678B4"/>
    <w:rsid w:val="00A704A3"/>
    <w:rsid w:val="00A751D4"/>
    <w:rsid w:val="00A75E23"/>
    <w:rsid w:val="00A8052A"/>
    <w:rsid w:val="00A812A6"/>
    <w:rsid w:val="00A82AA0"/>
    <w:rsid w:val="00A82F8A"/>
    <w:rsid w:val="00A84622"/>
    <w:rsid w:val="00A84BF0"/>
    <w:rsid w:val="00A8670F"/>
    <w:rsid w:val="00A9226B"/>
    <w:rsid w:val="00A953AA"/>
    <w:rsid w:val="00A9575C"/>
    <w:rsid w:val="00A95B56"/>
    <w:rsid w:val="00A969AF"/>
    <w:rsid w:val="00AA2D83"/>
    <w:rsid w:val="00AA4568"/>
    <w:rsid w:val="00AB1A2E"/>
    <w:rsid w:val="00AB328A"/>
    <w:rsid w:val="00AB4918"/>
    <w:rsid w:val="00AB4BC8"/>
    <w:rsid w:val="00AB6BA7"/>
    <w:rsid w:val="00AB7BE8"/>
    <w:rsid w:val="00AD0710"/>
    <w:rsid w:val="00AD1ABE"/>
    <w:rsid w:val="00AD3A72"/>
    <w:rsid w:val="00AD4DB9"/>
    <w:rsid w:val="00AD63C0"/>
    <w:rsid w:val="00AD730D"/>
    <w:rsid w:val="00AD768B"/>
    <w:rsid w:val="00AD7E99"/>
    <w:rsid w:val="00AE35B2"/>
    <w:rsid w:val="00AE6AA0"/>
    <w:rsid w:val="00AE6E0C"/>
    <w:rsid w:val="00AF394E"/>
    <w:rsid w:val="00AF410C"/>
    <w:rsid w:val="00AF5847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603F"/>
    <w:rsid w:val="00B279AD"/>
    <w:rsid w:val="00B304E7"/>
    <w:rsid w:val="00B318B6"/>
    <w:rsid w:val="00B3499B"/>
    <w:rsid w:val="00B34FEC"/>
    <w:rsid w:val="00B41F47"/>
    <w:rsid w:val="00B44468"/>
    <w:rsid w:val="00B5165C"/>
    <w:rsid w:val="00B519A3"/>
    <w:rsid w:val="00B521CD"/>
    <w:rsid w:val="00B52DF7"/>
    <w:rsid w:val="00B60AC9"/>
    <w:rsid w:val="00B645D7"/>
    <w:rsid w:val="00B66B0D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3E4C"/>
    <w:rsid w:val="00B94A1B"/>
    <w:rsid w:val="00B96938"/>
    <w:rsid w:val="00BA2D4C"/>
    <w:rsid w:val="00BA4A5D"/>
    <w:rsid w:val="00BA5C89"/>
    <w:rsid w:val="00BB04EB"/>
    <w:rsid w:val="00BB2539"/>
    <w:rsid w:val="00BB4CE2"/>
    <w:rsid w:val="00BB5EF0"/>
    <w:rsid w:val="00BB6724"/>
    <w:rsid w:val="00BB6C80"/>
    <w:rsid w:val="00BB7837"/>
    <w:rsid w:val="00BC0EFB"/>
    <w:rsid w:val="00BC14C6"/>
    <w:rsid w:val="00BC2E39"/>
    <w:rsid w:val="00BD2364"/>
    <w:rsid w:val="00BD28E3"/>
    <w:rsid w:val="00BD6FF7"/>
    <w:rsid w:val="00BE117E"/>
    <w:rsid w:val="00BE15AB"/>
    <w:rsid w:val="00BE292E"/>
    <w:rsid w:val="00BE3261"/>
    <w:rsid w:val="00BF00EF"/>
    <w:rsid w:val="00BF58FC"/>
    <w:rsid w:val="00C01F77"/>
    <w:rsid w:val="00C01FFC"/>
    <w:rsid w:val="00C03C50"/>
    <w:rsid w:val="00C05321"/>
    <w:rsid w:val="00C059DD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2989"/>
    <w:rsid w:val="00C33A5B"/>
    <w:rsid w:val="00C33ADB"/>
    <w:rsid w:val="00C3526F"/>
    <w:rsid w:val="00C36883"/>
    <w:rsid w:val="00C40928"/>
    <w:rsid w:val="00C40CFF"/>
    <w:rsid w:val="00C42697"/>
    <w:rsid w:val="00C43F01"/>
    <w:rsid w:val="00C47552"/>
    <w:rsid w:val="00C53AE9"/>
    <w:rsid w:val="00C57A81"/>
    <w:rsid w:val="00C60193"/>
    <w:rsid w:val="00C634D4"/>
    <w:rsid w:val="00C63AA5"/>
    <w:rsid w:val="00C65071"/>
    <w:rsid w:val="00C65B92"/>
    <w:rsid w:val="00C6727C"/>
    <w:rsid w:val="00C6744C"/>
    <w:rsid w:val="00C6799B"/>
    <w:rsid w:val="00C73134"/>
    <w:rsid w:val="00C73EEA"/>
    <w:rsid w:val="00C73F6D"/>
    <w:rsid w:val="00C74F6E"/>
    <w:rsid w:val="00C77FA4"/>
    <w:rsid w:val="00C77FFA"/>
    <w:rsid w:val="00C80401"/>
    <w:rsid w:val="00C80707"/>
    <w:rsid w:val="00C81C97"/>
    <w:rsid w:val="00C828CF"/>
    <w:rsid w:val="00C82BCD"/>
    <w:rsid w:val="00C840C2"/>
    <w:rsid w:val="00C84101"/>
    <w:rsid w:val="00C8528F"/>
    <w:rsid w:val="00C8535F"/>
    <w:rsid w:val="00C9058D"/>
    <w:rsid w:val="00C90AF4"/>
    <w:rsid w:val="00C90EDA"/>
    <w:rsid w:val="00C959E7"/>
    <w:rsid w:val="00CA0FCF"/>
    <w:rsid w:val="00CB048B"/>
    <w:rsid w:val="00CB071A"/>
    <w:rsid w:val="00CC05A8"/>
    <w:rsid w:val="00CC1E65"/>
    <w:rsid w:val="00CC567A"/>
    <w:rsid w:val="00CD4059"/>
    <w:rsid w:val="00CD4E5A"/>
    <w:rsid w:val="00CD6AFD"/>
    <w:rsid w:val="00CE03CE"/>
    <w:rsid w:val="00CE0F5D"/>
    <w:rsid w:val="00CE0F8C"/>
    <w:rsid w:val="00CE1A21"/>
    <w:rsid w:val="00CE1A6A"/>
    <w:rsid w:val="00CF0DFF"/>
    <w:rsid w:val="00CF2BDE"/>
    <w:rsid w:val="00CF581F"/>
    <w:rsid w:val="00D028A9"/>
    <w:rsid w:val="00D029BA"/>
    <w:rsid w:val="00D0359D"/>
    <w:rsid w:val="00D04DED"/>
    <w:rsid w:val="00D06063"/>
    <w:rsid w:val="00D101B6"/>
    <w:rsid w:val="00D1089A"/>
    <w:rsid w:val="00D116BD"/>
    <w:rsid w:val="00D158E4"/>
    <w:rsid w:val="00D15BAD"/>
    <w:rsid w:val="00D2001A"/>
    <w:rsid w:val="00D20684"/>
    <w:rsid w:val="00D20743"/>
    <w:rsid w:val="00D21DEA"/>
    <w:rsid w:val="00D26B62"/>
    <w:rsid w:val="00D31B86"/>
    <w:rsid w:val="00D32624"/>
    <w:rsid w:val="00D35B31"/>
    <w:rsid w:val="00D3691A"/>
    <w:rsid w:val="00D3709D"/>
    <w:rsid w:val="00D377E2"/>
    <w:rsid w:val="00D403E9"/>
    <w:rsid w:val="00D411F7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66A54"/>
    <w:rsid w:val="00D728A0"/>
    <w:rsid w:val="00D80E64"/>
    <w:rsid w:val="00D83661"/>
    <w:rsid w:val="00D90B58"/>
    <w:rsid w:val="00D9216A"/>
    <w:rsid w:val="00D97E7D"/>
    <w:rsid w:val="00DA2987"/>
    <w:rsid w:val="00DA34EA"/>
    <w:rsid w:val="00DB3439"/>
    <w:rsid w:val="00DB3618"/>
    <w:rsid w:val="00DB468A"/>
    <w:rsid w:val="00DC2946"/>
    <w:rsid w:val="00DC3FD3"/>
    <w:rsid w:val="00DC4462"/>
    <w:rsid w:val="00DC550F"/>
    <w:rsid w:val="00DC64FD"/>
    <w:rsid w:val="00DD41AF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BA3"/>
    <w:rsid w:val="00DF4CE9"/>
    <w:rsid w:val="00DF6526"/>
    <w:rsid w:val="00DF77CF"/>
    <w:rsid w:val="00E026E8"/>
    <w:rsid w:val="00E03C22"/>
    <w:rsid w:val="00E03F92"/>
    <w:rsid w:val="00E060F7"/>
    <w:rsid w:val="00E07965"/>
    <w:rsid w:val="00E14C47"/>
    <w:rsid w:val="00E17CCB"/>
    <w:rsid w:val="00E22698"/>
    <w:rsid w:val="00E25B7C"/>
    <w:rsid w:val="00E26F29"/>
    <w:rsid w:val="00E3076B"/>
    <w:rsid w:val="00E30884"/>
    <w:rsid w:val="00E32EE8"/>
    <w:rsid w:val="00E33472"/>
    <w:rsid w:val="00E34003"/>
    <w:rsid w:val="00E34D4F"/>
    <w:rsid w:val="00E355E9"/>
    <w:rsid w:val="00E35ADD"/>
    <w:rsid w:val="00E3725B"/>
    <w:rsid w:val="00E434D1"/>
    <w:rsid w:val="00E43952"/>
    <w:rsid w:val="00E4706B"/>
    <w:rsid w:val="00E517BA"/>
    <w:rsid w:val="00E51AE5"/>
    <w:rsid w:val="00E5253B"/>
    <w:rsid w:val="00E55290"/>
    <w:rsid w:val="00E56CBB"/>
    <w:rsid w:val="00E61950"/>
    <w:rsid w:val="00E61E51"/>
    <w:rsid w:val="00E63D8C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75C"/>
    <w:rsid w:val="00E935AF"/>
    <w:rsid w:val="00EA77F8"/>
    <w:rsid w:val="00EB0E20"/>
    <w:rsid w:val="00EB1A80"/>
    <w:rsid w:val="00EB23C3"/>
    <w:rsid w:val="00EB2F33"/>
    <w:rsid w:val="00EB457B"/>
    <w:rsid w:val="00EC0575"/>
    <w:rsid w:val="00EC40D9"/>
    <w:rsid w:val="00EC47C4"/>
    <w:rsid w:val="00EC4F3A"/>
    <w:rsid w:val="00EC56FB"/>
    <w:rsid w:val="00EC5E74"/>
    <w:rsid w:val="00ED594D"/>
    <w:rsid w:val="00EE0715"/>
    <w:rsid w:val="00EE365F"/>
    <w:rsid w:val="00EE36E1"/>
    <w:rsid w:val="00EE410B"/>
    <w:rsid w:val="00EE6228"/>
    <w:rsid w:val="00EE7AC7"/>
    <w:rsid w:val="00EE7B3F"/>
    <w:rsid w:val="00EF0B0C"/>
    <w:rsid w:val="00EF374E"/>
    <w:rsid w:val="00EF3A8A"/>
    <w:rsid w:val="00EF6A35"/>
    <w:rsid w:val="00EF70ED"/>
    <w:rsid w:val="00EF765E"/>
    <w:rsid w:val="00F0054D"/>
    <w:rsid w:val="00F00D60"/>
    <w:rsid w:val="00F01BB9"/>
    <w:rsid w:val="00F02467"/>
    <w:rsid w:val="00F04D0E"/>
    <w:rsid w:val="00F05908"/>
    <w:rsid w:val="00F10200"/>
    <w:rsid w:val="00F12214"/>
    <w:rsid w:val="00F12565"/>
    <w:rsid w:val="00F13BF1"/>
    <w:rsid w:val="00F144BE"/>
    <w:rsid w:val="00F14ACA"/>
    <w:rsid w:val="00F1555D"/>
    <w:rsid w:val="00F17649"/>
    <w:rsid w:val="00F176BE"/>
    <w:rsid w:val="00F17A0C"/>
    <w:rsid w:val="00F23927"/>
    <w:rsid w:val="00F26A05"/>
    <w:rsid w:val="00F307CE"/>
    <w:rsid w:val="00F3114C"/>
    <w:rsid w:val="00F33B3E"/>
    <w:rsid w:val="00F343C8"/>
    <w:rsid w:val="00F354C5"/>
    <w:rsid w:val="00F37108"/>
    <w:rsid w:val="00F40449"/>
    <w:rsid w:val="00F45B8E"/>
    <w:rsid w:val="00F45CB7"/>
    <w:rsid w:val="00F47BAA"/>
    <w:rsid w:val="00F520FE"/>
    <w:rsid w:val="00F52570"/>
    <w:rsid w:val="00F527BE"/>
    <w:rsid w:val="00F52EAB"/>
    <w:rsid w:val="00F55A04"/>
    <w:rsid w:val="00F601BC"/>
    <w:rsid w:val="00F61A31"/>
    <w:rsid w:val="00F63921"/>
    <w:rsid w:val="00F66126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11D4"/>
    <w:rsid w:val="00F95802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18F"/>
    <w:rsid w:val="00FB466E"/>
    <w:rsid w:val="00FB716C"/>
    <w:rsid w:val="00FC02F3"/>
    <w:rsid w:val="00FC059A"/>
    <w:rsid w:val="00FC1140"/>
    <w:rsid w:val="00FC752C"/>
    <w:rsid w:val="00FD0492"/>
    <w:rsid w:val="00FD13EC"/>
    <w:rsid w:val="00FD1E45"/>
    <w:rsid w:val="00FD4DA8"/>
    <w:rsid w:val="00FD4EEF"/>
    <w:rsid w:val="00FD5461"/>
    <w:rsid w:val="00FD5E55"/>
    <w:rsid w:val="00FD6BDB"/>
    <w:rsid w:val="00FD6F00"/>
    <w:rsid w:val="00FD7B98"/>
    <w:rsid w:val="00FE305B"/>
    <w:rsid w:val="00FF10E2"/>
    <w:rsid w:val="00FF18D2"/>
    <w:rsid w:val="00FF22F5"/>
    <w:rsid w:val="00FF4664"/>
    <w:rsid w:val="00FF476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,"/>
  <w14:docId w14:val="131381B3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F6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link w:val="BodyTextIndent2Char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al"/>
    <w:rsid w:val="00C03C50"/>
    <w:pPr>
      <w:tabs>
        <w:tab w:val="clear" w:pos="567"/>
        <w:tab w:val="left" w:pos="720"/>
      </w:tabs>
      <w:spacing w:line="240" w:lineRule="auto"/>
    </w:pPr>
    <w:rPr>
      <w:rFonts w:ascii="Arial" w:hAnsi="Arial"/>
      <w:lang w:val="en-GB"/>
    </w:rPr>
  </w:style>
  <w:style w:type="character" w:customStyle="1" w:styleId="BodyTextIndent2Char">
    <w:name w:val="Body Text Indent 2 Char"/>
    <w:link w:val="BodyTextIndent2"/>
    <w:rsid w:val="00C03C50"/>
    <w:rPr>
      <w:b/>
      <w:sz w:val="22"/>
      <w:lang w:eastAsia="en-US"/>
    </w:rPr>
  </w:style>
  <w:style w:type="paragraph" w:styleId="NormalIndent">
    <w:name w:val="Normal Indent"/>
    <w:basedOn w:val="Normal"/>
    <w:rsid w:val="00C03C50"/>
    <w:pPr>
      <w:tabs>
        <w:tab w:val="clear" w:pos="567"/>
      </w:tabs>
      <w:spacing w:after="240" w:line="240" w:lineRule="auto"/>
      <w:ind w:left="720"/>
      <w:jc w:val="both"/>
    </w:pPr>
    <w:rPr>
      <w:rFonts w:ascii="Arial" w:hAnsi="Arial"/>
      <w:lang w:val="en-GB"/>
    </w:rPr>
  </w:style>
  <w:style w:type="paragraph" w:customStyle="1" w:styleId="Textbody">
    <w:name w:val="Text body"/>
    <w:basedOn w:val="Normal"/>
    <w:rsid w:val="00C03C50"/>
    <w:pPr>
      <w:widowControl w:val="0"/>
      <w:tabs>
        <w:tab w:val="clear" w:pos="567"/>
      </w:tabs>
      <w:spacing w:line="240" w:lineRule="auto"/>
      <w:jc w:val="both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5E0141"/>
    <w:pPr>
      <w:widowControl w:val="0"/>
      <w:tabs>
        <w:tab w:val="clear" w:pos="567"/>
      </w:tabs>
      <w:autoSpaceDE w:val="0"/>
      <w:autoSpaceDN w:val="0"/>
      <w:spacing w:line="240" w:lineRule="auto"/>
      <w:ind w:left="107"/>
    </w:pPr>
    <w:rPr>
      <w:szCs w:val="22"/>
      <w:lang w:val="en-US"/>
    </w:rPr>
  </w:style>
  <w:style w:type="character" w:customStyle="1" w:styleId="cf01">
    <w:name w:val="cf01"/>
    <w:basedOn w:val="DefaultParagraphFont"/>
    <w:rsid w:val="00336FAB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4118E0"/>
    <w:pPr>
      <w:tabs>
        <w:tab w:val="left" w:pos="567"/>
      </w:tabs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BB1FE3BD3F84783A38B667DBA286A" ma:contentTypeVersion="15" ma:contentTypeDescription="Create a new document." ma:contentTypeScope="" ma:versionID="37ce0e05012a593edbd08a673c4c09bf">
  <xsd:schema xmlns:xsd="http://www.w3.org/2001/XMLSchema" xmlns:xs="http://www.w3.org/2001/XMLSchema" xmlns:p="http://schemas.microsoft.com/office/2006/metadata/properties" xmlns:ns2="c01b14d5-5f94-467a-aab2-554a255e8b8a" xmlns:ns3="3c0e2deb-fedf-4ab0-8678-8de9489a598d" targetNamespace="http://schemas.microsoft.com/office/2006/metadata/properties" ma:root="true" ma:fieldsID="7810a7962fa45d07450c3229bae4986f" ns2:_="" ns3:_="">
    <xsd:import namespace="c01b14d5-5f94-467a-aab2-554a255e8b8a"/>
    <xsd:import namespace="3c0e2deb-fedf-4ab0-8678-8de9489a5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14d5-5f94-467a-aab2-554a255e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2deb-fedf-4ab0-8678-8de9489a5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6d6592-7dc2-4861-adbd-94d42f370576}" ma:internalName="TaxCatchAll" ma:showField="CatchAllData" ma:web="3c0e2deb-fedf-4ab0-8678-8de9489a5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e2deb-fedf-4ab0-8678-8de9489a598d" xsi:nil="true"/>
    <lcf76f155ced4ddcb4097134ff3c332f xmlns="c01b14d5-5f94-467a-aab2-554a255e8b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50F4F8-7F89-4E40-9271-1C6C14ED6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C5560-09D2-4E56-8710-56647214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b14d5-5f94-467a-aab2-554a255e8b8a"/>
    <ds:schemaRef ds:uri="3c0e2deb-fedf-4ab0-8678-8de9489a5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9006-4F73-41E6-9636-709411651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EA3E6-2777-41C4-B64C-361BC18C760E}">
  <ds:schemaRefs>
    <ds:schemaRef ds:uri="http://schemas.microsoft.com/office/2006/metadata/properties"/>
    <ds:schemaRef ds:uri="http://schemas.microsoft.com/office/infopath/2007/PartnerControls"/>
    <ds:schemaRef ds:uri="3c0e2deb-fedf-4ab0-8678-8de9489a598d"/>
    <ds:schemaRef ds:uri="c01b14d5-5f94-467a-aab2-554a255e8b8a"/>
  </ds:schemaRefs>
</ds:datastoreItem>
</file>

<file path=docMetadata/LabelInfo.xml><?xml version="1.0" encoding="utf-8"?>
<clbl:labelList xmlns:clbl="http://schemas.microsoft.com/office/2020/mipLabelMetadata">
  <clbl:label id="{b2d366c9-b4f9-4dc6-8006-c9d363a6d202}" enabled="1" method="Privileged" siteId="{8e41bacc-baba-48d6-9fcb-708bd1208e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4359</Words>
  <Characters>26155</Characters>
  <Application>Microsoft Office Word</Application>
  <DocSecurity>0</DocSecurity>
  <Lines>217</Lines>
  <Paragraphs>60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Vqrdtemplateclean_pl</vt:lpstr>
      <vt:lpstr>Vqrdtemplateclean_pl</vt:lpstr>
      <vt:lpstr>Vqrdtemplateclean_pl</vt:lpstr>
    </vt:vector>
  </TitlesOfParts>
  <Company>CDT</Company>
  <LinksUpToDate>false</LinksUpToDate>
  <CharactersWithSpaces>30454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ANNA JASINSKA</cp:lastModifiedBy>
  <cp:revision>8</cp:revision>
  <cp:lastPrinted>2022-11-03T08:22:00Z</cp:lastPrinted>
  <dcterms:created xsi:type="dcterms:W3CDTF">2025-03-03T10:42:00Z</dcterms:created>
  <dcterms:modified xsi:type="dcterms:W3CDTF">2025-04-29T14:56:00Z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0x010100DE9BB1FE3BD3F84783A38B667DBA286A</vt:lpwstr>
  </property>
</Properties>
</file>