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3248" w14:textId="00BEF8D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DC8287" w14:textId="77777777" w:rsidR="00526880" w:rsidRDefault="005268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6F91CE" w14:textId="399C921A" w:rsidR="00526880" w:rsidRDefault="005268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200EDD" w14:textId="0DE5B6FA" w:rsidR="00526880" w:rsidRDefault="005268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F2E356" w14:textId="0C8BD321" w:rsidR="00526880" w:rsidRPr="00BE15AB" w:rsidRDefault="005268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4DD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CD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5D0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EAF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599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432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E1C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784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D20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A63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10A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A63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D29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AD2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910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BCD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8E2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FAD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4919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1FE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6F0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DCDFD" w14:textId="77777777" w:rsidR="00C114FF" w:rsidRPr="00BE15AB" w:rsidRDefault="008C546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6542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135" w14:textId="77777777" w:rsidR="00C114FF" w:rsidRPr="00BE15AB" w:rsidRDefault="008C546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54B39254" w14:textId="77777777" w:rsidR="00C114FF" w:rsidRPr="00BE15AB" w:rsidRDefault="008C5469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0801839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6B7C84" w14:textId="09EFC1E2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Neptra krople do uszu roztwór dla psów</w:t>
      </w:r>
    </w:p>
    <w:p w14:paraId="430CADE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7405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4A60" w14:textId="77777777" w:rsidR="00C114FF" w:rsidRPr="00BE15AB" w:rsidRDefault="008C5469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A9134B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79124" w14:textId="4DEDAC2E" w:rsidR="00D671E4" w:rsidRPr="00466625" w:rsidRDefault="00457A0D" w:rsidP="00D671E4">
      <w:pPr>
        <w:rPr>
          <w:color w:val="000000"/>
        </w:rPr>
      </w:pPr>
      <w:r>
        <w:rPr>
          <w:color w:val="000000"/>
        </w:rPr>
        <w:t>1</w:t>
      </w:r>
      <w:r w:rsidRPr="00466625">
        <w:rPr>
          <w:color w:val="000000"/>
        </w:rPr>
        <w:t xml:space="preserve"> </w:t>
      </w:r>
      <w:r w:rsidR="00D671E4" w:rsidRPr="00466625">
        <w:rPr>
          <w:color w:val="000000"/>
        </w:rPr>
        <w:t xml:space="preserve">dawka (1 ml) zawiera: </w:t>
      </w:r>
    </w:p>
    <w:p w14:paraId="57B7C6AD" w14:textId="77777777" w:rsidR="00D671E4" w:rsidRPr="00466625" w:rsidRDefault="00D671E4" w:rsidP="00D671E4">
      <w:pPr>
        <w:rPr>
          <w:color w:val="000000"/>
        </w:rPr>
      </w:pPr>
    </w:p>
    <w:p w14:paraId="404DC851" w14:textId="77777777" w:rsidR="00D671E4" w:rsidRDefault="00D671E4" w:rsidP="00D671E4">
      <w:pPr>
        <w:tabs>
          <w:tab w:val="clear" w:pos="567"/>
        </w:tabs>
        <w:spacing w:line="240" w:lineRule="auto"/>
        <w:rPr>
          <w:b/>
          <w:szCs w:val="22"/>
        </w:rPr>
      </w:pPr>
      <w:r w:rsidRPr="00466625">
        <w:rPr>
          <w:b/>
          <w:szCs w:val="22"/>
        </w:rPr>
        <w:t>Substancje czynne:</w:t>
      </w:r>
    </w:p>
    <w:p w14:paraId="4139658C" w14:textId="77777777" w:rsidR="00626AA7" w:rsidRPr="00466625" w:rsidRDefault="00626AA7" w:rsidP="00D671E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0AB3BB" w14:textId="7724C569" w:rsidR="00D671E4" w:rsidRPr="00466625" w:rsidRDefault="00D671E4" w:rsidP="00D671E4">
      <w:pPr>
        <w:tabs>
          <w:tab w:val="clear" w:pos="567"/>
        </w:tabs>
        <w:spacing w:line="240" w:lineRule="auto"/>
        <w:rPr>
          <w:iCs/>
          <w:szCs w:val="22"/>
        </w:rPr>
      </w:pPr>
      <w:r w:rsidRPr="00466625">
        <w:t>Florfenikol</w:t>
      </w:r>
      <w:r w:rsidR="00457A0D">
        <w:t xml:space="preserve"> (</w:t>
      </w:r>
      <w:r w:rsidR="00457A0D">
        <w:rPr>
          <w:iCs/>
          <w:szCs w:val="22"/>
        </w:rPr>
        <w:t>f</w:t>
      </w:r>
      <w:r w:rsidR="00457A0D" w:rsidRPr="00EA6FD1">
        <w:rPr>
          <w:iCs/>
          <w:szCs w:val="22"/>
        </w:rPr>
        <w:t>lorfenicol</w:t>
      </w:r>
      <w:r w:rsidR="00457A0D">
        <w:rPr>
          <w:iCs/>
          <w:szCs w:val="22"/>
        </w:rPr>
        <w:t>)</w:t>
      </w:r>
      <w:r w:rsidRPr="00466625">
        <w:t>: 16,7 mg</w:t>
      </w:r>
    </w:p>
    <w:p w14:paraId="5A05582A" w14:textId="1823EE4C" w:rsidR="00D671E4" w:rsidRPr="00466625" w:rsidRDefault="00D671E4" w:rsidP="00D671E4">
      <w:pPr>
        <w:tabs>
          <w:tab w:val="clear" w:pos="567"/>
        </w:tabs>
        <w:spacing w:line="240" w:lineRule="auto"/>
      </w:pPr>
      <w:r w:rsidRPr="00466625">
        <w:t>Terbinafiny chlorowodorek</w:t>
      </w:r>
      <w:r w:rsidR="00457A0D">
        <w:t xml:space="preserve"> (</w:t>
      </w:r>
      <w:r w:rsidR="00457A0D">
        <w:rPr>
          <w:iCs/>
          <w:szCs w:val="22"/>
        </w:rPr>
        <w:t>t</w:t>
      </w:r>
      <w:r w:rsidR="00457A0D" w:rsidRPr="00EA6FD1">
        <w:rPr>
          <w:iCs/>
          <w:szCs w:val="22"/>
        </w:rPr>
        <w:t>erbinafine hydrochloride</w:t>
      </w:r>
      <w:r w:rsidR="00457A0D">
        <w:rPr>
          <w:iCs/>
          <w:szCs w:val="22"/>
        </w:rPr>
        <w:t>)</w:t>
      </w:r>
      <w:r w:rsidRPr="00466625">
        <w:t>: 16,7 mg</w:t>
      </w:r>
      <w:r w:rsidR="00626AA7">
        <w:t xml:space="preserve">, </w:t>
      </w:r>
      <w:r w:rsidRPr="00466625">
        <w:t>co odpowiada 14,9 mg terbinafiny</w:t>
      </w:r>
    </w:p>
    <w:p w14:paraId="47DC4148" w14:textId="2C58D7D1" w:rsidR="00C114FF" w:rsidRPr="00BE15AB" w:rsidRDefault="00D671E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466625">
        <w:t>Mometazonu furoinian</w:t>
      </w:r>
      <w:r w:rsidR="00457A0D">
        <w:t xml:space="preserve"> </w:t>
      </w:r>
      <w:r w:rsidR="00457A0D">
        <w:rPr>
          <w:iCs/>
          <w:szCs w:val="22"/>
        </w:rPr>
        <w:t>(m</w:t>
      </w:r>
      <w:r w:rsidR="00457A0D" w:rsidRPr="00EA6FD1">
        <w:rPr>
          <w:iCs/>
          <w:szCs w:val="22"/>
        </w:rPr>
        <w:t>ometasone furoate</w:t>
      </w:r>
      <w:r w:rsidR="00457A0D">
        <w:rPr>
          <w:iCs/>
          <w:szCs w:val="22"/>
        </w:rPr>
        <w:t>)</w:t>
      </w:r>
      <w:r w:rsidRPr="00466625">
        <w:t>: 2,2 mg</w:t>
      </w:r>
    </w:p>
    <w:p w14:paraId="7E8DA9C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B7764A" w14:textId="6D853275" w:rsidR="00C114FF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Substancje pomocnicz</w:t>
      </w:r>
      <w:r w:rsidR="00D671E4">
        <w:rPr>
          <w:b/>
          <w:szCs w:val="22"/>
        </w:rPr>
        <w:t>e</w:t>
      </w:r>
      <w:r w:rsidRPr="00BE15AB">
        <w:rPr>
          <w:b/>
          <w:szCs w:val="22"/>
        </w:rPr>
        <w:t xml:space="preserve">: </w:t>
      </w:r>
    </w:p>
    <w:p w14:paraId="6841A88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021AD" w14:paraId="456A05CD" w14:textId="77777777" w:rsidTr="009021AD">
        <w:tc>
          <w:tcPr>
            <w:tcW w:w="4525" w:type="dxa"/>
            <w:vAlign w:val="center"/>
          </w:tcPr>
          <w:p w14:paraId="39EA62D6" w14:textId="1B220737" w:rsidR="009021AD" w:rsidRPr="00BE15AB" w:rsidRDefault="009021A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9021AD" w14:paraId="4D898D52" w14:textId="77777777" w:rsidTr="009021AD">
        <w:tc>
          <w:tcPr>
            <w:tcW w:w="4525" w:type="dxa"/>
            <w:vAlign w:val="center"/>
          </w:tcPr>
          <w:p w14:paraId="0F6D74B3" w14:textId="2DF36D24" w:rsidR="009021AD" w:rsidRPr="00BE15AB" w:rsidRDefault="009021AD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21AD">
              <w:rPr>
                <w:iCs/>
                <w:szCs w:val="22"/>
              </w:rPr>
              <w:t>Propylenu węglan</w:t>
            </w:r>
          </w:p>
        </w:tc>
      </w:tr>
      <w:tr w:rsidR="009021AD" w14:paraId="55E2B240" w14:textId="77777777" w:rsidTr="009021AD">
        <w:tc>
          <w:tcPr>
            <w:tcW w:w="4525" w:type="dxa"/>
            <w:vAlign w:val="center"/>
          </w:tcPr>
          <w:p w14:paraId="30FF5B48" w14:textId="13A165F7" w:rsidR="009021AD" w:rsidRPr="00BE15AB" w:rsidRDefault="009021AD" w:rsidP="00617B81">
            <w:pPr>
              <w:spacing w:before="60" w:after="60"/>
              <w:rPr>
                <w:iCs/>
                <w:szCs w:val="22"/>
              </w:rPr>
            </w:pPr>
            <w:r w:rsidRPr="009021AD">
              <w:rPr>
                <w:iCs/>
                <w:szCs w:val="22"/>
              </w:rPr>
              <w:t>Propylenowy glikol</w:t>
            </w:r>
          </w:p>
        </w:tc>
      </w:tr>
      <w:tr w:rsidR="009021AD" w14:paraId="01083DD2" w14:textId="77777777" w:rsidTr="009021AD">
        <w:tc>
          <w:tcPr>
            <w:tcW w:w="4525" w:type="dxa"/>
            <w:vAlign w:val="center"/>
          </w:tcPr>
          <w:p w14:paraId="74DD2F18" w14:textId="5F46A269" w:rsidR="009021AD" w:rsidRPr="00BE15AB" w:rsidRDefault="009021AD" w:rsidP="00617B81">
            <w:pPr>
              <w:spacing w:before="60" w:after="60"/>
              <w:rPr>
                <w:iCs/>
                <w:szCs w:val="22"/>
              </w:rPr>
            </w:pPr>
            <w:r w:rsidRPr="009021AD">
              <w:rPr>
                <w:iCs/>
                <w:szCs w:val="22"/>
              </w:rPr>
              <w:t>Etanol (96%)</w:t>
            </w:r>
          </w:p>
        </w:tc>
      </w:tr>
      <w:tr w:rsidR="009021AD" w14:paraId="34891106" w14:textId="77777777" w:rsidTr="009021AD">
        <w:tc>
          <w:tcPr>
            <w:tcW w:w="4525" w:type="dxa"/>
            <w:vAlign w:val="center"/>
          </w:tcPr>
          <w:p w14:paraId="3438410F" w14:textId="2DA9F7DD" w:rsidR="009021AD" w:rsidRPr="009021AD" w:rsidRDefault="009021AD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021AD">
              <w:rPr>
                <w:iCs/>
                <w:szCs w:val="22"/>
              </w:rPr>
              <w:t>Makrogol 8000</w:t>
            </w:r>
          </w:p>
        </w:tc>
      </w:tr>
      <w:tr w:rsidR="009021AD" w14:paraId="0550EE23" w14:textId="77777777" w:rsidTr="009021AD">
        <w:tc>
          <w:tcPr>
            <w:tcW w:w="4525" w:type="dxa"/>
            <w:vAlign w:val="center"/>
          </w:tcPr>
          <w:p w14:paraId="095EDA4A" w14:textId="11D083EC" w:rsidR="009021AD" w:rsidRPr="00BE15AB" w:rsidRDefault="009021AD" w:rsidP="00617B81">
            <w:pPr>
              <w:spacing w:before="60" w:after="60"/>
              <w:rPr>
                <w:iCs/>
                <w:szCs w:val="22"/>
              </w:rPr>
            </w:pPr>
            <w:r w:rsidRPr="009021AD">
              <w:rPr>
                <w:iCs/>
                <w:szCs w:val="22"/>
              </w:rPr>
              <w:t>Woda oczyszczona</w:t>
            </w:r>
          </w:p>
        </w:tc>
      </w:tr>
    </w:tbl>
    <w:p w14:paraId="0CCC7202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E8089" w14:textId="2A187456" w:rsidR="00C114FF" w:rsidRDefault="00D671E4" w:rsidP="00A9226B">
      <w:pPr>
        <w:tabs>
          <w:tab w:val="clear" w:pos="567"/>
        </w:tabs>
        <w:spacing w:line="240" w:lineRule="auto"/>
      </w:pPr>
      <w:r w:rsidRPr="00466625">
        <w:t>Klarowna, bezbarwna do żółtej, nieco lepka ciecz.</w:t>
      </w:r>
    </w:p>
    <w:p w14:paraId="0069CF99" w14:textId="77777777" w:rsidR="006471E3" w:rsidRDefault="006471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4B018" w14:textId="77777777" w:rsidR="00D671E4" w:rsidRPr="00BE15AB" w:rsidRDefault="00D671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D5B805" w14:textId="77777777" w:rsidR="00C114FF" w:rsidRPr="00BE15AB" w:rsidRDefault="008C5469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40197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F4B1D" w14:textId="77777777" w:rsidR="00C114FF" w:rsidRPr="00BE15AB" w:rsidRDefault="008C5469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21C182F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C817C1" w14:textId="31F33994" w:rsidR="00D671E4" w:rsidRDefault="00457A0D" w:rsidP="00A9226B">
      <w:pPr>
        <w:tabs>
          <w:tab w:val="clear" w:pos="567"/>
        </w:tabs>
        <w:spacing w:line="240" w:lineRule="auto"/>
        <w:rPr>
          <w:szCs w:val="22"/>
        </w:rPr>
      </w:pPr>
      <w:r w:rsidRPr="00466625">
        <w:t>P</w:t>
      </w:r>
      <w:r>
        <w:t>sy.</w:t>
      </w:r>
    </w:p>
    <w:p w14:paraId="31CAE126" w14:textId="77777777" w:rsidR="00D671E4" w:rsidRPr="00BE15AB" w:rsidRDefault="00D671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AC34F" w14:textId="77777777" w:rsidR="00C114FF" w:rsidRPr="00BE15AB" w:rsidRDefault="008C5469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58B365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2312C8" w14:textId="26302FA1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Leczenie ostrego zapalenia ucha zewnętrznego u psów lub ostrych nawracających stanów zapalnych ucha wywołanych przez </w:t>
      </w:r>
      <w:r>
        <w:t xml:space="preserve">mieszane </w:t>
      </w:r>
      <w:r w:rsidRPr="00466625">
        <w:t xml:space="preserve">infekcje </w:t>
      </w:r>
      <w:r w:rsidRPr="00466625">
        <w:rPr>
          <w:i/>
          <w:iCs/>
        </w:rPr>
        <w:t>Staphylococcus pseudintermedius</w:t>
      </w:r>
      <w:r w:rsidR="00457A0D">
        <w:t xml:space="preserve"> i </w:t>
      </w:r>
      <w:r w:rsidRPr="00466625">
        <w:rPr>
          <w:i/>
          <w:iCs/>
        </w:rPr>
        <w:t>Malassezia pachydermatis</w:t>
      </w:r>
      <w:r w:rsidRPr="00466625">
        <w:t>.</w:t>
      </w:r>
    </w:p>
    <w:p w14:paraId="178E04CF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B3764" w14:textId="77777777" w:rsidR="00C114FF" w:rsidRPr="00BE15AB" w:rsidRDefault="008C5469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4C68C80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7D60AE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Nie stosować w przypadkach nadwrażliwości na substancje czynne, na inne kortykosteroidy lub na dowolną substancję pomocniczą.</w:t>
      </w:r>
    </w:p>
    <w:p w14:paraId="2DF2D691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Nie stosować w przypadku perforacji błony bębenkowej.</w:t>
      </w:r>
    </w:p>
    <w:p w14:paraId="581E4CF8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Nie stosować u psów z uogólnioną nużycą.</w:t>
      </w:r>
    </w:p>
    <w:p w14:paraId="1D7BAD33" w14:textId="77777777" w:rsidR="00D671E4" w:rsidRPr="002009D4" w:rsidRDefault="00D671E4" w:rsidP="00D671E4">
      <w:pPr>
        <w:tabs>
          <w:tab w:val="clear" w:pos="567"/>
        </w:tabs>
        <w:spacing w:line="240" w:lineRule="auto"/>
      </w:pPr>
      <w:r w:rsidRPr="00466625">
        <w:t>Nie stosować u zwierząt ciężarnych ani zarodowych.</w:t>
      </w:r>
    </w:p>
    <w:p w14:paraId="484B9C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5B51F" w14:textId="77777777" w:rsidR="00C114FF" w:rsidRPr="00BE15AB" w:rsidRDefault="008C5469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16C222C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819467" w14:textId="77777777" w:rsidR="00D671E4" w:rsidRPr="00466625" w:rsidRDefault="00D671E4" w:rsidP="00D671E4">
      <w:pPr>
        <w:tabs>
          <w:tab w:val="clear" w:pos="567"/>
        </w:tabs>
        <w:spacing w:line="240" w:lineRule="auto"/>
      </w:pPr>
      <w:r w:rsidRPr="00466625">
        <w:t>Bakteryjne i grzybicze zapalenie ucha ma często charakter wtórny w stosunku do innych schorzeń.</w:t>
      </w:r>
    </w:p>
    <w:p w14:paraId="02270C49" w14:textId="10F6062E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U zwierząt z nawracającym zapaleniem ucha zewnętrznego w wywiadzie należy ustalić czynnik wywołujący, taki jak alergia czy szczególna budowa anatomiczna ucha, aby uniknąć nieskuteczności leczenia </w:t>
      </w:r>
      <w:r>
        <w:t>tym weterynaryjnym</w:t>
      </w:r>
      <w:r w:rsidR="00626AA7" w:rsidRPr="00626AA7">
        <w:t xml:space="preserve"> </w:t>
      </w:r>
      <w:r w:rsidR="00626AA7">
        <w:t>produktem leczniczym</w:t>
      </w:r>
      <w:r>
        <w:t xml:space="preserve">. </w:t>
      </w:r>
      <w:r w:rsidRPr="00466625">
        <w:t xml:space="preserve"> </w:t>
      </w:r>
    </w:p>
    <w:p w14:paraId="2F0F1055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  <w:lang w:eastAsia="de-DE"/>
        </w:rPr>
      </w:pPr>
    </w:p>
    <w:p w14:paraId="6FF24F1E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W przypadku pasożytniczego zapalenia ucha należy wdrożyć odpowiednie leczenie roztoczobójcze.</w:t>
      </w:r>
    </w:p>
    <w:p w14:paraId="3DD21242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</w:p>
    <w:p w14:paraId="3F13383B" w14:textId="45B18440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Przed podaniem</w:t>
      </w:r>
      <w:r w:rsidR="007D7DC6">
        <w:t xml:space="preserve"> </w:t>
      </w:r>
      <w:r w:rsidRPr="00466625">
        <w:t>produktu</w:t>
      </w:r>
      <w:r>
        <w:t xml:space="preserve"> należy wyczyścić uszy. W ciągu 28 dni od podania produktu zaleca się nie czyścić ponownie uszu. </w:t>
      </w:r>
      <w:r w:rsidRPr="00466625">
        <w:t xml:space="preserve">W badaniach klinicznych do oczyszczania uszu </w:t>
      </w:r>
      <w:r>
        <w:t xml:space="preserve">przed rozpoczęciem leczenia </w:t>
      </w:r>
      <w:r w:rsidR="007D7DC6">
        <w:t xml:space="preserve">tym </w:t>
      </w:r>
      <w:r w:rsidR="00866023">
        <w:t>weterynaryjnym</w:t>
      </w:r>
      <w:r w:rsidR="00866023" w:rsidRPr="00466625">
        <w:t xml:space="preserve"> </w:t>
      </w:r>
      <w:r>
        <w:t xml:space="preserve">produktem leczniczym </w:t>
      </w:r>
      <w:r w:rsidRPr="00466625">
        <w:t>stosowano jedynie roztwór soli fizjologicznej</w:t>
      </w:r>
      <w:r>
        <w:t>.</w:t>
      </w:r>
    </w:p>
    <w:p w14:paraId="5F61097F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</w:p>
    <w:p w14:paraId="28B633B7" w14:textId="5ABDE946" w:rsidR="00D671E4" w:rsidRPr="00466625" w:rsidRDefault="00866023" w:rsidP="00D671E4">
      <w:pPr>
        <w:tabs>
          <w:tab w:val="clear" w:pos="567"/>
        </w:tabs>
        <w:spacing w:line="240" w:lineRule="auto"/>
        <w:rPr>
          <w:szCs w:val="22"/>
        </w:rPr>
      </w:pPr>
      <w:r>
        <w:t xml:space="preserve">Weterynaryjny produkt leczniczy </w:t>
      </w:r>
      <w:r w:rsidR="00D671E4" w:rsidRPr="00466625">
        <w:t xml:space="preserve">przeznaczony jest do stosowania w leczeniu ostrego zapalenia ucha, spowodowanego przez mieszane zakażenia </w:t>
      </w:r>
      <w:r w:rsidR="00D671E4" w:rsidRPr="00466625">
        <w:rPr>
          <w:i/>
          <w:iCs/>
        </w:rPr>
        <w:t>Staphylococcus pseudintermedius</w:t>
      </w:r>
      <w:r w:rsidR="00D671E4" w:rsidRPr="00466625">
        <w:t xml:space="preserve"> wrażliwymi na florfenikol i </w:t>
      </w:r>
      <w:r w:rsidR="00D671E4" w:rsidRPr="00466625">
        <w:rPr>
          <w:i/>
          <w:iCs/>
        </w:rPr>
        <w:t>Malessezia pachydermatis</w:t>
      </w:r>
      <w:r w:rsidR="00D671E4" w:rsidRPr="00466625">
        <w:t xml:space="preserve"> wrażliwymi</w:t>
      </w:r>
      <w:r w:rsidR="00D671E4">
        <w:t xml:space="preserve"> </w:t>
      </w:r>
      <w:r w:rsidR="00D671E4" w:rsidRPr="00466625">
        <w:t>na terbinafinę.</w:t>
      </w:r>
    </w:p>
    <w:p w14:paraId="3D4C28A6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DC034A8" w14:textId="77777777" w:rsidR="00C114FF" w:rsidRPr="00BE15AB" w:rsidRDefault="008C5469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1B0EE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B6589B" w14:textId="77777777" w:rsidR="00C114FF" w:rsidRPr="00BE15AB" w:rsidRDefault="008C546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5D7209D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FCA5F5" w14:textId="77777777" w:rsid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466625">
        <w:t>Nie określono bezpieczeństwa stosowania tego weterynaryjnego produktu leczniczego u psów w wieku poniżej 3 miesięcy</w:t>
      </w:r>
      <w:r>
        <w:t>.</w:t>
      </w:r>
      <w:r w:rsidRPr="00ED71D3">
        <w:rPr>
          <w:szCs w:val="22"/>
          <w:lang w:eastAsia="de-DE"/>
        </w:rPr>
        <w:t xml:space="preserve"> </w:t>
      </w:r>
      <w:r w:rsidRPr="00D310DF">
        <w:t>Bezpieczeństwo zwierząt docelowych nie było badane u psów o masie ciała poniżej 4 kg. Jednak w badaniach terenowych u psów ważących mniej niż 4 kg nie stwierdzono problemów związanych z bezpieczeństwem.</w:t>
      </w:r>
    </w:p>
    <w:p w14:paraId="507779FA" w14:textId="77777777" w:rsidR="00D671E4" w:rsidRPr="00D310DF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128F3AB9" w14:textId="42AB014A" w:rsid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466625">
        <w:t xml:space="preserve">Przed podaniem tego </w:t>
      </w:r>
      <w:r w:rsidR="00866023" w:rsidRPr="00466625">
        <w:t xml:space="preserve">weterynaryjnego </w:t>
      </w:r>
      <w:r w:rsidRPr="00466625">
        <w:t>produktu leczniczego należy dokładnie zbadać przewód słuchowy zewnętrzny, aby upewnić się, że nie doszło do perforacji błony bębenkowej.</w:t>
      </w:r>
    </w:p>
    <w:p w14:paraId="63F69109" w14:textId="77777777" w:rsidR="00457A0D" w:rsidRPr="00ED71D3" w:rsidRDefault="00457A0D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1BCC88F3" w14:textId="77777777" w:rsid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466625">
        <w:t>Należy ponownie zbadać psa, jeśli podczas leczenia zaobserwowano utratę słuchu lub objawy zaburzeń układu przedsionkowego.</w:t>
      </w:r>
    </w:p>
    <w:p w14:paraId="10AE9F88" w14:textId="77777777" w:rsidR="00D671E4" w:rsidRPr="00ED71D3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162AE24D" w14:textId="2160CF3D" w:rsid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466625">
        <w:t xml:space="preserve">Po podaniu </w:t>
      </w:r>
      <w:r w:rsidR="00866023">
        <w:t xml:space="preserve">weterynaryjnego </w:t>
      </w:r>
      <w:r w:rsidRPr="00466625">
        <w:t>produktu</w:t>
      </w:r>
      <w:r w:rsidR="00866023">
        <w:t xml:space="preserve"> leczniczego</w:t>
      </w:r>
      <w:r w:rsidRPr="00466625">
        <w:t xml:space="preserve"> można zaobserwować mokre uszy lub przezroczystą wydzielinę z uszu, co nie ma związku z procesem chorobowym.</w:t>
      </w:r>
    </w:p>
    <w:p w14:paraId="6355209E" w14:textId="1593AF9E" w:rsidR="00457A0D" w:rsidRDefault="00457A0D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de-DE"/>
        </w:rPr>
      </w:pPr>
    </w:p>
    <w:p w14:paraId="538C10A4" w14:textId="5DC50555" w:rsidR="00510042" w:rsidRDefault="00457A0D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532048">
        <w:rPr>
          <w:szCs w:val="22"/>
          <w:lang w:eastAsia="de-DE"/>
        </w:rPr>
        <w:t>Stosowanie produktu powinno opierać się na identyfikacji i badaniu wrażliwości docelowego patogenu(ów). Jeżeli nie jest to możliwe, leczenie powinno opierać się na informacjach epidemiologicznych i wiedzy na temat wrażliwości docelowych patogenów na poziomie lokalnym/regionalnym.</w:t>
      </w:r>
    </w:p>
    <w:p w14:paraId="470CBBC3" w14:textId="1B94A01F" w:rsidR="00510042" w:rsidRDefault="00510042" w:rsidP="0051004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de-DE"/>
        </w:rPr>
      </w:pPr>
      <w:r>
        <w:t>Weterynaryjny produkt leczniczy należy stosować zgodnie z oficjalną, krajową i regionalną, polityką przeciwdrobnoustrojową.</w:t>
      </w:r>
    </w:p>
    <w:p w14:paraId="4E8C0A4C" w14:textId="77777777" w:rsidR="00510042" w:rsidRDefault="00510042" w:rsidP="00510042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>
        <w:t>W ramach leczenia pierwszego rzutu należy zastosować antybiotyk o niższym ryzyku wystąpienia selekcji szczepów opornych (niższa kategoria wg klasyfikacji AMEG), jeśli badanie wrażliwości sugeruje prawdopodobną skuteczność takiego podejścia.</w:t>
      </w:r>
    </w:p>
    <w:p w14:paraId="34A86E2C" w14:textId="77777777" w:rsidR="00532048" w:rsidRDefault="00532048" w:rsidP="00510042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2CBF6C7F" w14:textId="60A28D8C" w:rsidR="00D671E4" w:rsidRPr="00466625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466625">
        <w:t xml:space="preserve">Stosowanie tego weterynaryjnego </w:t>
      </w:r>
      <w:r w:rsidR="00866023" w:rsidRPr="00466625">
        <w:t xml:space="preserve">produktu </w:t>
      </w:r>
      <w:r w:rsidR="00866023">
        <w:t xml:space="preserve">leczniczego </w:t>
      </w:r>
      <w:r w:rsidRPr="00466625">
        <w:t xml:space="preserve">niezgodnie ze wskazaniami zawartymi w </w:t>
      </w:r>
      <w:r>
        <w:t xml:space="preserve">Charakterystyce Weterynaryjnego </w:t>
      </w:r>
      <w:r w:rsidR="00866023">
        <w:t xml:space="preserve">Produktu Leczniczego </w:t>
      </w:r>
      <w:r>
        <w:t>(</w:t>
      </w:r>
      <w:r w:rsidRPr="00466625">
        <w:t>ChW</w:t>
      </w:r>
      <w:r w:rsidR="00866023" w:rsidRPr="00466625">
        <w:t>PL</w:t>
      </w:r>
      <w:r>
        <w:t>)</w:t>
      </w:r>
      <w:r w:rsidRPr="00466625">
        <w:t xml:space="preserve"> może zwiększać częstość występowania bakterii opornych na florfenikol i grzybów opornych na terbinafinę oraz obniżać skuteczność leczenia innymi antybiotykami i lekami przeciwgrzybiczymi.</w:t>
      </w:r>
    </w:p>
    <w:p w14:paraId="46B21D3A" w14:textId="77777777" w:rsidR="00D671E4" w:rsidRPr="00466625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de-DE"/>
        </w:rPr>
      </w:pPr>
    </w:p>
    <w:p w14:paraId="3A1812C9" w14:textId="571D2094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W badaniach tolerancji stwierdzono zmniejszenie stężenia kortyzolu po podaniu</w:t>
      </w:r>
      <w:r w:rsidR="00866023">
        <w:t xml:space="preserve"> </w:t>
      </w:r>
      <w:r w:rsidRPr="00466625">
        <w:t>produktu</w:t>
      </w:r>
      <w:r w:rsidR="00866023">
        <w:t xml:space="preserve"> </w:t>
      </w:r>
      <w:r w:rsidRPr="00466625">
        <w:t xml:space="preserve">(zarówno przed, jak i po stymulacji ACTH), co wskazuje na to, iż furoinian mometazonu wchłania się i przedostaje do krążenia ogólnego. Głównymi odchyleniami stwierdzonymi po podaniu dawki jednorazowej były zmniejszona odpowiedź kory nadnerczy na stymulację ACTH, zmniejszona bezwzględna liczba limfocytów i eozynofili w krwi obwodowej oraz zmniejszona masa nadnerczy. Stwierdzono, że długotrwałe i intensywne stosowanie preparatów kortykosteroidów podawanych miejscowo wywołuje reakcje ogólnoustrojowe, w tym zahamowanie czynności nadnerczy (patrz punkt </w:t>
      </w:r>
      <w:r w:rsidR="00457A0D">
        <w:t>3</w:t>
      </w:r>
      <w:r w:rsidRPr="00466625">
        <w:t>.10).</w:t>
      </w:r>
    </w:p>
    <w:p w14:paraId="48958542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</w:p>
    <w:p w14:paraId="2B25FF75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W przypadku wystąpienia nadwrażliwości na którykolwiek składnik tego produktu ucho należy dokładnie przepłukać. Należy unikać dodatkowego podawania kortykosteroidów.</w:t>
      </w:r>
    </w:p>
    <w:p w14:paraId="6BC5F41B" w14:textId="77777777" w:rsidR="00D671E4" w:rsidRPr="00466625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de-DE"/>
        </w:rPr>
      </w:pPr>
    </w:p>
    <w:p w14:paraId="2432B063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lastRenderedPageBreak/>
        <w:t>Stosować z zachowaniem ostrożności u psów z podejrzewanymi lub potwierdzonymi zaburzeniami hormonalnymi (np. cukrzycą, niedoczynnością lub nadczynnością tarczycy).</w:t>
      </w:r>
    </w:p>
    <w:p w14:paraId="47A5941D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  <w:lang w:eastAsia="de-DE"/>
        </w:rPr>
      </w:pPr>
    </w:p>
    <w:p w14:paraId="363007AF" w14:textId="2A1A4B32" w:rsidR="00D671E4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Należy zachować ostrożność w celu niedopuszczenia przedostania się tego weterynaryjnego produktu leczniczego do oczu leczonego psa, np. poprzez przytrzymanie głowy psa tak, aby nie mógł nią potrząsać (patrz punkt </w:t>
      </w:r>
      <w:r w:rsidR="00457A0D">
        <w:t>3</w:t>
      </w:r>
      <w:r w:rsidRPr="00466625">
        <w:t xml:space="preserve">.9). </w:t>
      </w:r>
      <w:r w:rsidR="000563FD">
        <w:rPr>
          <w:szCs w:val="22"/>
        </w:rPr>
        <w:t>Po przypadkowym</w:t>
      </w:r>
      <w:r w:rsidRPr="00466625">
        <w:rPr>
          <w:szCs w:val="22"/>
        </w:rPr>
        <w:t xml:space="preserve"> dostani</w:t>
      </w:r>
      <w:r w:rsidR="000563FD">
        <w:rPr>
          <w:szCs w:val="22"/>
        </w:rPr>
        <w:t>u</w:t>
      </w:r>
      <w:r w:rsidRPr="00466625">
        <w:rPr>
          <w:szCs w:val="22"/>
        </w:rPr>
        <w:t xml:space="preserve"> się produktu do oka należy przepłukać je obficie wodą.</w:t>
      </w:r>
    </w:p>
    <w:p w14:paraId="2969EB1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C399A" w14:textId="77777777" w:rsidR="00C114FF" w:rsidRPr="00BE15AB" w:rsidRDefault="008C546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55EAB2E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830060" w14:textId="17825ACF" w:rsidR="00D671E4" w:rsidRDefault="006471E3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>
        <w:t>W</w:t>
      </w:r>
      <w:r w:rsidR="00D671E4" w:rsidRPr="0049379C">
        <w:t xml:space="preserve">eterynaryjny </w:t>
      </w:r>
      <w:r>
        <w:t>p</w:t>
      </w:r>
      <w:r w:rsidRPr="0049379C">
        <w:t xml:space="preserve">rodukt leczniczy </w:t>
      </w:r>
      <w:r w:rsidR="00D671E4">
        <w:t>wykazuje silnie drażniące działanie na oczy</w:t>
      </w:r>
      <w:r w:rsidR="00D671E4" w:rsidRPr="0049379C">
        <w:t xml:space="preserve">. Przypadkowe narażenie oczu może wystąpić kiedy pies potrząsa głową podczas lub chwilę po podaniu produktu. W celu uniknięcia ryzyka dla właściciela, zaleca się by </w:t>
      </w:r>
      <w:r>
        <w:t xml:space="preserve">weterynaryjny produkt leczniczy </w:t>
      </w:r>
      <w:r w:rsidR="00D671E4" w:rsidRPr="0049379C">
        <w:t>był podawany wyłącz</w:t>
      </w:r>
      <w:r w:rsidR="00D671E4">
        <w:t>n</w:t>
      </w:r>
      <w:r w:rsidR="00D671E4" w:rsidRPr="0049379C">
        <w:t>i</w:t>
      </w:r>
      <w:r w:rsidR="00D671E4">
        <w:t>e</w:t>
      </w:r>
      <w:r w:rsidR="00D671E4" w:rsidRPr="0049379C">
        <w:t xml:space="preserve"> prze</w:t>
      </w:r>
      <w:r w:rsidR="00D671E4">
        <w:t>z</w:t>
      </w:r>
      <w:r w:rsidR="00D671E4" w:rsidRPr="0049379C">
        <w:t xml:space="preserve"> lekarza weterynarii </w:t>
      </w:r>
      <w:r w:rsidR="00D671E4">
        <w:t xml:space="preserve">lub pod jego ścisłym nadzorem. </w:t>
      </w:r>
      <w:r w:rsidR="00D671E4" w:rsidRPr="0049379C">
        <w:t>Koniecznie jest zapewnienie odpowiednich środków (np. noszenie okularów ochronnych podczas podawania produktu, rozmasowanie kanał</w:t>
      </w:r>
      <w:r w:rsidR="00D671E4">
        <w:t>u</w:t>
      </w:r>
      <w:r w:rsidR="00D671E4" w:rsidRPr="0049379C">
        <w:t xml:space="preserve"> słuchowego po podaniu w celu zapewnienia równego roz</w:t>
      </w:r>
      <w:r w:rsidR="00D671E4">
        <w:t>prowadz</w:t>
      </w:r>
      <w:r w:rsidR="00D671E4" w:rsidRPr="0049379C">
        <w:t xml:space="preserve">enia produktu, przytrzymanie psa po aplikacji produktu) by uniknąć </w:t>
      </w:r>
      <w:r w:rsidR="00D671E4">
        <w:t>narażenia</w:t>
      </w:r>
      <w:r w:rsidR="00D671E4" w:rsidRPr="0049379C">
        <w:t xml:space="preserve"> oczu. </w:t>
      </w:r>
      <w:r w:rsidR="00457A0D">
        <w:t xml:space="preserve">Po </w:t>
      </w:r>
      <w:r w:rsidR="00457A0D" w:rsidRPr="0049379C">
        <w:t>przypadk</w:t>
      </w:r>
      <w:r w:rsidR="00457A0D">
        <w:t>owym</w:t>
      </w:r>
      <w:r w:rsidR="00457A0D" w:rsidRPr="0049379C">
        <w:t xml:space="preserve"> </w:t>
      </w:r>
      <w:r w:rsidR="00D671E4">
        <w:t>zanieczyszcz</w:t>
      </w:r>
      <w:r w:rsidR="00D671E4" w:rsidRPr="0049379C">
        <w:t>eni</w:t>
      </w:r>
      <w:r w:rsidR="00457A0D">
        <w:t>u</w:t>
      </w:r>
      <w:r w:rsidR="00D671E4" w:rsidRPr="0049379C">
        <w:t xml:space="preserve"> oczu, </w:t>
      </w:r>
      <w:r w:rsidR="00D671E4">
        <w:t>s</w:t>
      </w:r>
      <w:r w:rsidR="00D671E4" w:rsidRPr="0049379C">
        <w:t>płukać je dokładnie wodą prze</w:t>
      </w:r>
      <w:r w:rsidR="00D671E4">
        <w:t>z</w:t>
      </w:r>
      <w:r w:rsidR="00D671E4" w:rsidRPr="0049379C">
        <w:t xml:space="preserve"> 10 -</w:t>
      </w:r>
      <w:r w:rsidR="00D671E4">
        <w:t xml:space="preserve"> </w:t>
      </w:r>
      <w:r w:rsidR="00D671E4" w:rsidRPr="0049379C">
        <w:t>15 minut. Jeżeli w</w:t>
      </w:r>
      <w:r w:rsidR="00D671E4">
        <w:t>y</w:t>
      </w:r>
      <w:r w:rsidR="00D671E4" w:rsidRPr="0049379C">
        <w:t>stąpią objawy, zwrócić się o pomoc lekarską oraz przedstawić lekarzowi ulotkę informacyjną lub opakowanie.</w:t>
      </w:r>
    </w:p>
    <w:p w14:paraId="1121D0FE" w14:textId="77777777" w:rsidR="00457A0D" w:rsidRDefault="00457A0D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4CB23140" w14:textId="409E9CAA" w:rsid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466625">
        <w:t xml:space="preserve">Mimo, że w badaniach doświadczalnych nie wykazano, aby produkt ten mógł wykazywać działanie drażniące na skórę, to należy unikać jego styczności ze skórą. </w:t>
      </w:r>
      <w:r w:rsidR="00457A0D">
        <w:t>Po</w:t>
      </w:r>
      <w:r w:rsidR="00C63BA6">
        <w:t xml:space="preserve"> </w:t>
      </w:r>
      <w:r w:rsidRPr="00466625">
        <w:t>przypadkow</w:t>
      </w:r>
      <w:r w:rsidR="00457A0D">
        <w:t>ym</w:t>
      </w:r>
      <w:r w:rsidRPr="00466625">
        <w:t xml:space="preserve"> kontak</w:t>
      </w:r>
      <w:r w:rsidR="00457A0D">
        <w:t>cie</w:t>
      </w:r>
      <w:r w:rsidRPr="00466625">
        <w:t xml:space="preserve"> ze skórą</w:t>
      </w:r>
      <w:r w:rsidR="00457A0D">
        <w:t>,</w:t>
      </w:r>
      <w:r w:rsidRPr="00466625">
        <w:t xml:space="preserve"> narażoną jej część należy dokładnie spłukać wodą. </w:t>
      </w:r>
    </w:p>
    <w:p w14:paraId="2F9E7A73" w14:textId="77777777" w:rsidR="00457A0D" w:rsidRPr="00466625" w:rsidRDefault="00457A0D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B183DF0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Produkt może wykazywać szkodliwe działanie po połknięciu. Nie dopuszczać do połknięcia produktu, w tym do narażenia drogą ręce-usta</w:t>
      </w:r>
      <w:r>
        <w:t>.</w:t>
      </w:r>
      <w:r w:rsidRPr="00466625">
        <w:t xml:space="preserve"> Po przypadkowym połknięciu należy niezwłocznie zwrócić się o pomoc lekarską oraz przedstawić lekarzowi ulotkę informacyjną lub opakowanie.</w:t>
      </w:r>
    </w:p>
    <w:p w14:paraId="476221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5B48A" w14:textId="77777777" w:rsidR="00295140" w:rsidRPr="00BE15AB" w:rsidRDefault="008C546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B7DC57D" w14:textId="77777777" w:rsidR="006471E3" w:rsidRDefault="006471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A58C73" w14:textId="20D7E607" w:rsidR="00C114FF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3C0A1702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216BAF" w14:textId="45B6BB26" w:rsidR="00295140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Inne środki ostrożności</w:t>
      </w:r>
      <w:r w:rsidRPr="00BE15AB">
        <w:t>:</w:t>
      </w:r>
    </w:p>
    <w:p w14:paraId="1F2D0F1D" w14:textId="77777777" w:rsidR="0029514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E265DF" w14:textId="4AF61D1E" w:rsidR="006471E3" w:rsidRPr="00ED55E6" w:rsidRDefault="006471E3" w:rsidP="006471E3">
      <w:r>
        <w:t xml:space="preserve">Bezpieczeństwo i skuteczność tego weterynaryjnego </w:t>
      </w:r>
      <w:r w:rsidR="00457A0D">
        <w:t xml:space="preserve">produktu leczniczego </w:t>
      </w:r>
      <w:r>
        <w:t xml:space="preserve">u kotów nie </w:t>
      </w:r>
      <w:r w:rsidR="00C4565A">
        <w:t xml:space="preserve">zostały </w:t>
      </w:r>
      <w:r>
        <w:t xml:space="preserve">ocenione. Dane uzyskane z monitorowania produktu po wprowadzeniu do obrotu wskazują, że zastosowanie tego produktu u kotów może być związane z wystąpieniem objawów neurologicznych (włączając ataksję, zespół Hornera z wypadnięciem trzeciej powieki, zwężenie źrenic, anizokorię) oraz chorób ucha wewnętrznego (przechylanie głowy) i objawów ogólnoustrojowych (anoreksja i </w:t>
      </w:r>
      <w:r w:rsidR="00C63BA6">
        <w:t>letarg</w:t>
      </w:r>
      <w:r>
        <w:t>). Dlatego należy unikać stosowania tego weterynaryjnego produktu leczniczego u kotów.</w:t>
      </w:r>
    </w:p>
    <w:p w14:paraId="7B17C46A" w14:textId="77777777" w:rsidR="006471E3" w:rsidRPr="00BE15AB" w:rsidRDefault="006471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8CA6" w14:textId="252C7223" w:rsidR="00C114FF" w:rsidRDefault="008C5469" w:rsidP="00B13B6D">
      <w:pPr>
        <w:pStyle w:val="Style1"/>
      </w:pPr>
      <w:r w:rsidRPr="00BE15AB">
        <w:t>3.6</w:t>
      </w:r>
      <w:r w:rsidRPr="00BE15AB">
        <w:tab/>
      </w:r>
      <w:r w:rsidR="006471E3">
        <w:t>Zdarzenia</w:t>
      </w:r>
      <w:r w:rsidRPr="00BE15AB">
        <w:t xml:space="preserve"> niepożądane</w:t>
      </w:r>
    </w:p>
    <w:p w14:paraId="69859039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3FAC554" w14:textId="7FBD9DA6" w:rsidR="00AD0710" w:rsidRPr="00BE15AB" w:rsidRDefault="006471E3" w:rsidP="00AD0710">
      <w:pPr>
        <w:tabs>
          <w:tab w:val="clear" w:pos="567"/>
        </w:tabs>
        <w:spacing w:line="240" w:lineRule="auto"/>
        <w:rPr>
          <w:szCs w:val="22"/>
        </w:rPr>
      </w:pPr>
      <w:r>
        <w:t>Psy</w:t>
      </w:r>
      <w:r w:rsidR="00457A0D">
        <w:t>:</w:t>
      </w:r>
    </w:p>
    <w:p w14:paraId="06711391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7099C" w14:paraId="267D6681" w14:textId="77777777" w:rsidTr="00617B81">
        <w:tc>
          <w:tcPr>
            <w:tcW w:w="1957" w:type="pct"/>
          </w:tcPr>
          <w:p w14:paraId="386A408C" w14:textId="77777777" w:rsidR="00295140" w:rsidRPr="00BE15AB" w:rsidRDefault="008C5469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5F3B0590" w14:textId="77777777" w:rsidR="00295140" w:rsidRPr="00BE15AB" w:rsidRDefault="008C5469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039B9ED2" w14:textId="54F36E81" w:rsidR="00626AA7" w:rsidRPr="00AE52D0" w:rsidRDefault="00AE52D0" w:rsidP="00626AA7">
            <w:pPr>
              <w:rPr>
                <w:vertAlign w:val="superscript"/>
              </w:rPr>
            </w:pPr>
            <w:r w:rsidRPr="00AE52D0">
              <w:t>Rumień w</w:t>
            </w:r>
            <w:r>
              <w:t xml:space="preserve"> miejscu podania</w:t>
            </w:r>
            <w:r w:rsidR="00626AA7" w:rsidRPr="00AE52D0">
              <w:t xml:space="preserve">, </w:t>
            </w:r>
            <w:r>
              <w:t>stan zapalny w miejscu podania</w:t>
            </w:r>
            <w:r w:rsidR="00626AA7" w:rsidRPr="00AE52D0">
              <w:t xml:space="preserve">, </w:t>
            </w:r>
            <w:r>
              <w:t>b</w:t>
            </w:r>
            <w:r w:rsidR="00E104B2" w:rsidRPr="00AE52D0">
              <w:t xml:space="preserve">ól w miejscu </w:t>
            </w:r>
            <w:r>
              <w:t>podania</w:t>
            </w:r>
            <w:r w:rsidR="00626AA7" w:rsidRPr="00AE52D0">
              <w:rPr>
                <w:vertAlign w:val="superscript"/>
              </w:rPr>
              <w:t>1</w:t>
            </w:r>
          </w:p>
          <w:p w14:paraId="04288182" w14:textId="77777777" w:rsidR="00626AA7" w:rsidRPr="00AE52D0" w:rsidRDefault="00626AA7" w:rsidP="00626AA7"/>
          <w:p w14:paraId="20FD19F1" w14:textId="599F43A3" w:rsidR="00626AA7" w:rsidRPr="00457A0D" w:rsidRDefault="00AE52D0" w:rsidP="00626AA7">
            <w:pPr>
              <w:rPr>
                <w:vertAlign w:val="superscript"/>
              </w:rPr>
            </w:pPr>
            <w:r w:rsidRPr="00457A0D">
              <w:t>Nadpobudliwość</w:t>
            </w:r>
            <w:r w:rsidR="00626AA7" w:rsidRPr="00457A0D">
              <w:t xml:space="preserve">, </w:t>
            </w:r>
            <w:r w:rsidRPr="00457A0D">
              <w:t>w</w:t>
            </w:r>
            <w:r w:rsidR="004B0028" w:rsidRPr="00457A0D">
              <w:t>okalizacja</w:t>
            </w:r>
            <w:r w:rsidR="00626AA7" w:rsidRPr="00457A0D">
              <w:rPr>
                <w:vertAlign w:val="superscript"/>
              </w:rPr>
              <w:t>1</w:t>
            </w:r>
          </w:p>
          <w:p w14:paraId="28D8F17E" w14:textId="77777777" w:rsidR="00626AA7" w:rsidRPr="00457A0D" w:rsidRDefault="00626AA7" w:rsidP="00626AA7"/>
          <w:p w14:paraId="25B5386E" w14:textId="65706DEF" w:rsidR="00626AA7" w:rsidRPr="00457A0D" w:rsidRDefault="00AE52D0" w:rsidP="00626AA7">
            <w:r w:rsidRPr="00457A0D">
              <w:t>Wymioty</w:t>
            </w:r>
          </w:p>
          <w:p w14:paraId="34429CA4" w14:textId="77777777" w:rsidR="00626AA7" w:rsidRPr="00457A0D" w:rsidRDefault="00626AA7" w:rsidP="00626AA7"/>
          <w:p w14:paraId="7A8020C2" w14:textId="0832FBE5" w:rsidR="00626AA7" w:rsidRPr="00AE52D0" w:rsidRDefault="004B0028" w:rsidP="00626AA7">
            <w:r w:rsidRPr="00AE52D0">
              <w:t>Głuchota</w:t>
            </w:r>
            <w:r w:rsidR="00626AA7" w:rsidRPr="00AE52D0">
              <w:rPr>
                <w:vertAlign w:val="superscript"/>
              </w:rPr>
              <w:t>2</w:t>
            </w:r>
            <w:r w:rsidR="00626AA7" w:rsidRPr="00AE52D0">
              <w:t xml:space="preserve">, </w:t>
            </w:r>
            <w:r w:rsidR="00137AAE" w:rsidRPr="00AE52D0">
              <w:t>upośledzen</w:t>
            </w:r>
            <w:r w:rsidR="00137AAE">
              <w:t>ie słuchu</w:t>
            </w:r>
            <w:r w:rsidR="00137AAE" w:rsidRPr="00AE52D0">
              <w:rPr>
                <w:vertAlign w:val="superscript"/>
              </w:rPr>
              <w:t>2</w:t>
            </w:r>
            <w:r w:rsidR="00137AAE">
              <w:t>, zaburzenie czynności ucha wewnętrznego,</w:t>
            </w:r>
            <w:r w:rsidR="00137AAE" w:rsidRPr="00AE52D0">
              <w:t xml:space="preserve"> </w:t>
            </w:r>
            <w:r w:rsidRPr="00AE52D0">
              <w:t>potrząsanie głową</w:t>
            </w:r>
            <w:r w:rsidR="00626AA7" w:rsidRPr="00AE52D0">
              <w:rPr>
                <w:vertAlign w:val="superscript"/>
              </w:rPr>
              <w:t>1</w:t>
            </w:r>
            <w:r w:rsidR="00626AA7" w:rsidRPr="00AE52D0">
              <w:t xml:space="preserve"> </w:t>
            </w:r>
          </w:p>
          <w:p w14:paraId="2075A2DF" w14:textId="77777777" w:rsidR="00626AA7" w:rsidRPr="00AE52D0" w:rsidRDefault="00626AA7" w:rsidP="00626AA7"/>
          <w:p w14:paraId="5BF60A2B" w14:textId="36F15797" w:rsidR="00626AA7" w:rsidRPr="00AE52D0" w:rsidRDefault="00137AAE" w:rsidP="00626AA7">
            <w:r>
              <w:lastRenderedPageBreak/>
              <w:t>Zaburzenia oka (</w:t>
            </w:r>
            <w:r w:rsidR="001E5B47">
              <w:t xml:space="preserve">np. </w:t>
            </w:r>
            <w:r>
              <w:t>k</w:t>
            </w:r>
            <w:r w:rsidR="00AE52D0" w:rsidRPr="00AE52D0">
              <w:t>urcz powiek</w:t>
            </w:r>
            <w:r w:rsidR="00626AA7" w:rsidRPr="00AE52D0">
              <w:t xml:space="preserve">, </w:t>
            </w:r>
            <w:r w:rsidR="00AE52D0">
              <w:t>zapalenie spojówek</w:t>
            </w:r>
            <w:r w:rsidR="00626AA7" w:rsidRPr="00AE52D0">
              <w:t xml:space="preserve">, </w:t>
            </w:r>
            <w:r w:rsidR="00AE52D0">
              <w:t>owrzodzenie rogówki</w:t>
            </w:r>
            <w:r w:rsidR="00626AA7" w:rsidRPr="00AE52D0">
              <w:t xml:space="preserve">, </w:t>
            </w:r>
            <w:r w:rsidR="00AE52D0" w:rsidRPr="00AE52D0">
              <w:t>podrażnienie oka</w:t>
            </w:r>
            <w:r w:rsidR="00626AA7" w:rsidRPr="00AE52D0">
              <w:t xml:space="preserve">, </w:t>
            </w:r>
            <w:r w:rsidR="00AE52D0" w:rsidRPr="00AE52D0">
              <w:t>suche zapalenie rogówki i spojówek</w:t>
            </w:r>
            <w:r>
              <w:t>)</w:t>
            </w:r>
          </w:p>
          <w:p w14:paraId="08F10691" w14:textId="77777777" w:rsidR="00626AA7" w:rsidRPr="00AE52D0" w:rsidRDefault="00626AA7" w:rsidP="00626AA7"/>
          <w:p w14:paraId="21958E38" w14:textId="028E6EA3" w:rsidR="00626AA7" w:rsidRDefault="00626AA7" w:rsidP="00626AA7">
            <w:r>
              <w:t>At</w:t>
            </w:r>
            <w:r w:rsidR="00E104B2">
              <w:t>aksja</w:t>
            </w:r>
            <w:r>
              <w:t>,</w:t>
            </w:r>
            <w:r w:rsidR="00F31170">
              <w:t xml:space="preserve"> paraliż twarzy,</w:t>
            </w:r>
            <w:r>
              <w:t xml:space="preserve"> </w:t>
            </w:r>
            <w:r w:rsidR="0092142A">
              <w:t>oczopląs</w:t>
            </w:r>
          </w:p>
          <w:p w14:paraId="017DADE6" w14:textId="77777777" w:rsidR="00626AA7" w:rsidRDefault="00626AA7" w:rsidP="00626AA7"/>
          <w:p w14:paraId="765142D2" w14:textId="7B02C5CE" w:rsidR="00295140" w:rsidRPr="00BE15AB" w:rsidRDefault="00626AA7" w:rsidP="00626AA7">
            <w:pPr>
              <w:spacing w:before="60" w:after="60"/>
              <w:rPr>
                <w:iCs/>
                <w:szCs w:val="22"/>
              </w:rPr>
            </w:pPr>
            <w:r>
              <w:t>Anore</w:t>
            </w:r>
            <w:r w:rsidR="00E104B2">
              <w:t>ksja</w:t>
            </w:r>
          </w:p>
        </w:tc>
      </w:tr>
    </w:tbl>
    <w:p w14:paraId="135D1EC4" w14:textId="7EE2801A" w:rsidR="00626AA7" w:rsidRPr="00E946A4" w:rsidRDefault="00626AA7" w:rsidP="00626AA7">
      <w:pPr>
        <w:spacing w:line="240" w:lineRule="auto"/>
        <w:rPr>
          <w:szCs w:val="22"/>
        </w:rPr>
      </w:pPr>
      <w:r w:rsidRPr="00E946A4">
        <w:rPr>
          <w:szCs w:val="22"/>
          <w:vertAlign w:val="superscript"/>
        </w:rPr>
        <w:lastRenderedPageBreak/>
        <w:t xml:space="preserve">1 </w:t>
      </w:r>
      <w:r w:rsidR="00AE52D0" w:rsidRPr="00E946A4">
        <w:rPr>
          <w:szCs w:val="22"/>
        </w:rPr>
        <w:t>Obserwowane krótko po podaniu produktu.</w:t>
      </w:r>
    </w:p>
    <w:p w14:paraId="0770BB30" w14:textId="52595B88" w:rsidR="00C63BA6" w:rsidRPr="00E946A4" w:rsidRDefault="00C63BA6" w:rsidP="00C63BA6">
      <w:pPr>
        <w:spacing w:line="240" w:lineRule="auto"/>
        <w:rPr>
          <w:szCs w:val="22"/>
        </w:rPr>
      </w:pPr>
      <w:r w:rsidRPr="00E946A4">
        <w:rPr>
          <w:szCs w:val="22"/>
          <w:vertAlign w:val="superscript"/>
        </w:rPr>
        <w:t xml:space="preserve">2 </w:t>
      </w:r>
      <w:r w:rsidRPr="00E946A4">
        <w:rPr>
          <w:szCs w:val="22"/>
        </w:rPr>
        <w:t>Głównie u starszych zwierząt.</w:t>
      </w:r>
    </w:p>
    <w:p w14:paraId="09495318" w14:textId="77777777" w:rsidR="002A097A" w:rsidRPr="00BE15AB" w:rsidRDefault="002A097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1DD292C" w14:textId="52FC1447" w:rsidR="00247A48" w:rsidRDefault="008C5469" w:rsidP="00247A48">
      <w:bookmarkStart w:id="0" w:name="_Hlk66891708"/>
      <w:bookmarkStart w:id="1" w:name="_Hlk83115233"/>
      <w:r w:rsidRPr="00783A99">
        <w:t xml:space="preserve">Zgłaszanie </w:t>
      </w:r>
      <w:r w:rsidR="006471E3">
        <w:t xml:space="preserve">zdarzeń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 xml:space="preserve">do </w:t>
      </w:r>
      <w:r w:rsidR="004E719E" w:rsidRPr="00783A99">
        <w:t>podmiotu odpowiedzialnego</w:t>
      </w:r>
      <w:r w:rsidR="002D6D4A">
        <w:t xml:space="preserve"> </w:t>
      </w:r>
      <w:r w:rsidR="002D6D4A" w:rsidRPr="002D6D4A">
        <w:t>lub do właściwych organów krajowych</w:t>
      </w:r>
      <w:r w:rsidR="004E719E" w:rsidRPr="00783A99">
        <w:t xml:space="preserve"> </w:t>
      </w:r>
      <w:r w:rsidR="004E719E" w:rsidRPr="004063BC">
        <w:t xml:space="preserve">za pośrednictwem krajowego systemu zgłaszania. Właściwe dane kontaktowe znajdują się w </w:t>
      </w:r>
      <w:r w:rsidR="006471E3">
        <w:t xml:space="preserve">ulotce </w:t>
      </w:r>
      <w:r w:rsidR="004E719E" w:rsidRPr="004063BC">
        <w:t>informacyjnej.</w:t>
      </w:r>
    </w:p>
    <w:p w14:paraId="0F9B2864" w14:textId="77777777" w:rsidR="002A097A" w:rsidRPr="00291744" w:rsidRDefault="002A097A" w:rsidP="00247A48">
      <w:pPr>
        <w:rPr>
          <w:szCs w:val="22"/>
        </w:rPr>
      </w:pPr>
    </w:p>
    <w:bookmarkEnd w:id="0"/>
    <w:bookmarkEnd w:id="1"/>
    <w:p w14:paraId="43552EBB" w14:textId="77777777" w:rsidR="00C114FF" w:rsidRPr="00BE15AB" w:rsidRDefault="008C5469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35EE81F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151410" w14:textId="0F65A849" w:rsidR="00AE52D0" w:rsidRDefault="00AE52D0" w:rsidP="00AE52D0">
      <w:pPr>
        <w:tabs>
          <w:tab w:val="clear" w:pos="567"/>
        </w:tabs>
        <w:spacing w:line="240" w:lineRule="auto"/>
      </w:pPr>
      <w:r w:rsidRPr="00BE15AB">
        <w:t xml:space="preserve">Bezpieczeństwo weterynaryjnego produktu leczniczego stosowanego </w:t>
      </w:r>
      <w:r w:rsidR="002D6D4A">
        <w:t>podczas</w:t>
      </w:r>
      <w:r w:rsidRPr="00BE15AB">
        <w:t xml:space="preserve"> ciąży</w:t>
      </w:r>
      <w:r>
        <w:t xml:space="preserve"> i </w:t>
      </w:r>
      <w:r w:rsidRPr="00BE15AB">
        <w:t>laktacji</w:t>
      </w:r>
      <w:r>
        <w:t xml:space="preserve"> </w:t>
      </w:r>
      <w:r w:rsidRPr="00BE15AB">
        <w:t>nie zostało określone.</w:t>
      </w:r>
    </w:p>
    <w:p w14:paraId="2400DD74" w14:textId="77777777" w:rsidR="00AE52D0" w:rsidRPr="00BE15AB" w:rsidRDefault="00AE52D0" w:rsidP="00AE52D0">
      <w:pPr>
        <w:tabs>
          <w:tab w:val="clear" w:pos="567"/>
        </w:tabs>
        <w:spacing w:line="240" w:lineRule="auto"/>
        <w:rPr>
          <w:szCs w:val="22"/>
        </w:rPr>
      </w:pPr>
    </w:p>
    <w:p w14:paraId="062404B0" w14:textId="71E330E7" w:rsidR="00AE52D0" w:rsidRDefault="00AE52D0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u w:val="single"/>
        </w:rPr>
      </w:pPr>
      <w:r w:rsidRPr="006E2300">
        <w:rPr>
          <w:szCs w:val="22"/>
          <w:u w:val="single"/>
        </w:rPr>
        <w:t>Ciąża</w:t>
      </w:r>
      <w:r w:rsidRPr="006E2300">
        <w:rPr>
          <w:u w:val="single"/>
        </w:rPr>
        <w:t xml:space="preserve"> </w:t>
      </w:r>
      <w:r w:rsidRPr="006E2300">
        <w:rPr>
          <w:szCs w:val="22"/>
          <w:u w:val="single"/>
        </w:rPr>
        <w:t>i laktacja</w:t>
      </w:r>
      <w:r w:rsidRPr="006E2300">
        <w:rPr>
          <w:u w:val="single"/>
        </w:rPr>
        <w:t>:</w:t>
      </w:r>
    </w:p>
    <w:p w14:paraId="576CDBF8" w14:textId="77777777" w:rsidR="00137AAE" w:rsidRPr="006E2300" w:rsidRDefault="00137AAE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</w:rPr>
      </w:pPr>
    </w:p>
    <w:p w14:paraId="6F12740D" w14:textId="3CEEAD6A" w:rsidR="00D671E4" w:rsidRPr="00466625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30819">
        <w:rPr>
          <w:szCs w:val="22"/>
        </w:rPr>
        <w:t xml:space="preserve">Nie stosować </w:t>
      </w:r>
      <w:r w:rsidR="002D6D4A">
        <w:rPr>
          <w:szCs w:val="22"/>
        </w:rPr>
        <w:t>podczas</w:t>
      </w:r>
      <w:r w:rsidRPr="00B30819">
        <w:rPr>
          <w:szCs w:val="22"/>
        </w:rPr>
        <w:t xml:space="preserve"> ciąży i laktacji</w:t>
      </w:r>
      <w:r>
        <w:rPr>
          <w:szCs w:val="22"/>
        </w:rPr>
        <w:t>.</w:t>
      </w:r>
    </w:p>
    <w:p w14:paraId="31FB029F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</w:p>
    <w:p w14:paraId="0114AEDA" w14:textId="7629C47D" w:rsidR="006E2300" w:rsidRDefault="006E2300" w:rsidP="006E2300">
      <w:pPr>
        <w:tabs>
          <w:tab w:val="clear" w:pos="567"/>
        </w:tabs>
        <w:spacing w:line="240" w:lineRule="auto"/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38036476" w14:textId="77777777" w:rsidR="00137AAE" w:rsidRPr="00BE15AB" w:rsidRDefault="00137AAE" w:rsidP="006E2300">
      <w:pPr>
        <w:tabs>
          <w:tab w:val="clear" w:pos="567"/>
        </w:tabs>
        <w:spacing w:line="240" w:lineRule="auto"/>
        <w:rPr>
          <w:szCs w:val="22"/>
        </w:rPr>
      </w:pPr>
    </w:p>
    <w:p w14:paraId="36AD930C" w14:textId="1023AA35" w:rsidR="00C114FF" w:rsidRPr="00BE15AB" w:rsidRDefault="00D671E4" w:rsidP="00A9226B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Nie przeprowadzono badań dotyczących wpływu produktu na płodność psów. Nie stosować u zwierząt </w:t>
      </w:r>
      <w:r w:rsidR="002D6D4A" w:rsidRPr="002D6D4A">
        <w:t>przeznaczonych do rozrodu</w:t>
      </w:r>
      <w:r w:rsidRPr="00466625">
        <w:t>.</w:t>
      </w:r>
    </w:p>
    <w:p w14:paraId="15A02A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AB05D" w14:textId="77777777" w:rsidR="00C114FF" w:rsidRPr="00BE15AB" w:rsidRDefault="008C5469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F9CA70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D2417A" w14:textId="77777777" w:rsidR="00D671E4" w:rsidRDefault="00D671E4" w:rsidP="00D671E4">
      <w:pPr>
        <w:tabs>
          <w:tab w:val="clear" w:pos="567"/>
        </w:tabs>
        <w:spacing w:line="240" w:lineRule="auto"/>
      </w:pPr>
      <w:r w:rsidRPr="00466625">
        <w:t>Nieznane.</w:t>
      </w:r>
    </w:p>
    <w:p w14:paraId="7BF9D290" w14:textId="77777777" w:rsidR="00137AAE" w:rsidRPr="00466625" w:rsidRDefault="00137AAE" w:rsidP="00D671E4">
      <w:pPr>
        <w:tabs>
          <w:tab w:val="clear" w:pos="567"/>
        </w:tabs>
        <w:spacing w:line="240" w:lineRule="auto"/>
      </w:pPr>
    </w:p>
    <w:p w14:paraId="0626D677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rPr>
          <w:szCs w:val="22"/>
        </w:rPr>
        <w:t>Nie wykazano zgodności tego produktu z preparatami do czyszczenia uszu innymi niż</w:t>
      </w:r>
      <w:r>
        <w:rPr>
          <w:szCs w:val="22"/>
        </w:rPr>
        <w:t xml:space="preserve"> roztwór</w:t>
      </w:r>
      <w:r w:rsidRPr="00466625">
        <w:rPr>
          <w:szCs w:val="22"/>
        </w:rPr>
        <w:t xml:space="preserve"> s</w:t>
      </w:r>
      <w:r>
        <w:rPr>
          <w:szCs w:val="22"/>
        </w:rPr>
        <w:t>oli</w:t>
      </w:r>
    </w:p>
    <w:p w14:paraId="7412B4CF" w14:textId="2D72E1DB" w:rsidR="00D671E4" w:rsidRPr="00D671E4" w:rsidRDefault="00D671E4" w:rsidP="00A9226B">
      <w:pPr>
        <w:tabs>
          <w:tab w:val="clear" w:pos="567"/>
        </w:tabs>
        <w:spacing w:line="240" w:lineRule="auto"/>
        <w:rPr>
          <w:szCs w:val="22"/>
        </w:rPr>
      </w:pPr>
      <w:r w:rsidRPr="00466625">
        <w:rPr>
          <w:szCs w:val="22"/>
        </w:rPr>
        <w:t>fizjologiczn</w:t>
      </w:r>
      <w:r>
        <w:rPr>
          <w:szCs w:val="22"/>
        </w:rPr>
        <w:t>ej</w:t>
      </w:r>
      <w:r w:rsidRPr="00466625">
        <w:rPr>
          <w:szCs w:val="22"/>
        </w:rPr>
        <w:t>.</w:t>
      </w:r>
    </w:p>
    <w:p w14:paraId="7DA70188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2C86E" w14:textId="77777777" w:rsidR="00C114FF" w:rsidRPr="00BE15AB" w:rsidRDefault="008C5469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1EFFDE7B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2A2A10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Podanie do ucha. </w:t>
      </w:r>
    </w:p>
    <w:p w14:paraId="529C74C3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>
        <w:t>Leczenie</w:t>
      </w:r>
      <w:r w:rsidRPr="00466625">
        <w:t xml:space="preserve"> jednorazowe. </w:t>
      </w:r>
    </w:p>
    <w:p w14:paraId="57384B95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</w:p>
    <w:p w14:paraId="25B87ECE" w14:textId="77777777" w:rsidR="00D671E4" w:rsidRPr="00ED71D3" w:rsidRDefault="00D671E4" w:rsidP="00D671E4">
      <w:pPr>
        <w:tabs>
          <w:tab w:val="clear" w:pos="567"/>
        </w:tabs>
        <w:spacing w:line="240" w:lineRule="auto"/>
      </w:pPr>
      <w:r w:rsidRPr="00466625">
        <w:t xml:space="preserve">Dawka zalecana to 1 pojemnik jednodawkowy (tzn. 1 ml roztworu) na zakażone ucho. </w:t>
      </w:r>
    </w:p>
    <w:p w14:paraId="31E558FD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Maksymalna odpowiedź kliniczna może pojawić się dopiero po 28 dniach od podania.</w:t>
      </w:r>
    </w:p>
    <w:p w14:paraId="4693A592" w14:textId="77777777" w:rsidR="00D671E4" w:rsidRPr="00ED71D3" w:rsidRDefault="00D671E4" w:rsidP="00D671E4">
      <w:pPr>
        <w:tabs>
          <w:tab w:val="clear" w:pos="567"/>
        </w:tabs>
        <w:spacing w:line="240" w:lineRule="auto"/>
        <w:rPr>
          <w:szCs w:val="22"/>
        </w:rPr>
      </w:pPr>
    </w:p>
    <w:p w14:paraId="2943ACB4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Przed użyciem </w:t>
      </w:r>
      <w:r>
        <w:t xml:space="preserve">dobrze </w:t>
      </w:r>
      <w:r w:rsidRPr="00466625">
        <w:t>wstrząsać przez 5 sekund.</w:t>
      </w:r>
    </w:p>
    <w:p w14:paraId="244546FD" w14:textId="5089AF12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Przed podaniem </w:t>
      </w:r>
      <w:r w:rsidR="006E2300">
        <w:t xml:space="preserve">weterynaryjnego </w:t>
      </w:r>
      <w:r w:rsidRPr="00466625">
        <w:t>produktu</w:t>
      </w:r>
      <w:r w:rsidR="006E2300">
        <w:t xml:space="preserve"> leczniczego</w:t>
      </w:r>
      <w:r w:rsidRPr="00466625">
        <w:t xml:space="preserve"> oczyścić i osuszyć zewnętrzny przewód słuchowy.</w:t>
      </w:r>
    </w:p>
    <w:p w14:paraId="10C12A56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>Trzymając pionowo pojemnik jednorazowego użytku</w:t>
      </w:r>
      <w:r>
        <w:t xml:space="preserve">, </w:t>
      </w:r>
      <w:r w:rsidRPr="00466625">
        <w:t>zdjąć z ni</w:t>
      </w:r>
      <w:r>
        <w:t>ego</w:t>
      </w:r>
      <w:r w:rsidRPr="00466625">
        <w:t xml:space="preserve"> nasadkę.</w:t>
      </w:r>
    </w:p>
    <w:p w14:paraId="5D81D139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Górną końcówką nasadki całkowicie przerwać plombę, a następnie zdjąć nasadkę z </w:t>
      </w:r>
      <w:r>
        <w:t>pojemnika jednorazowego użytku</w:t>
      </w:r>
      <w:r w:rsidRPr="00466625">
        <w:t>.</w:t>
      </w:r>
    </w:p>
    <w:p w14:paraId="58446972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Na </w:t>
      </w:r>
      <w:r>
        <w:t xml:space="preserve">pojemnik jednorazowego użytku </w:t>
      </w:r>
      <w:r w:rsidRPr="00466625">
        <w:t>nakręcić dyszę aplikacyjną.</w:t>
      </w:r>
      <w:r w:rsidRPr="00466625">
        <w:br/>
        <w:t>Dyszę aplikacyjną wprowadzić do przewodu słuchowego zewnętrznego i całą zawartość tubki wcisnąć do ucha.</w:t>
      </w:r>
    </w:p>
    <w:p w14:paraId="538E3047" w14:textId="77777777" w:rsidR="00D671E4" w:rsidRPr="00466625" w:rsidRDefault="00D671E4" w:rsidP="00D671E4">
      <w:pPr>
        <w:rPr>
          <w:szCs w:val="22"/>
        </w:rPr>
      </w:pPr>
      <w:r w:rsidRPr="00466625">
        <w:t>Delikatnie masować podstawę ucha przez 30 sekund, co pozwoli na rozprowadzenie roztworu. Przytrzymać głowę psa przed 2 minuty, aby nie mógł nią potrząsać.</w:t>
      </w:r>
    </w:p>
    <w:p w14:paraId="10DEE2EC" w14:textId="16C1A3DE" w:rsidR="00D671E4" w:rsidRPr="00466625" w:rsidRDefault="00D671E4" w:rsidP="00D671E4">
      <w:pPr>
        <w:tabs>
          <w:tab w:val="clear" w:pos="567"/>
        </w:tabs>
        <w:spacing w:line="240" w:lineRule="auto"/>
        <w:rPr>
          <w:noProof/>
        </w:rPr>
      </w:pPr>
      <w:r w:rsidRPr="00466625">
        <w:rPr>
          <w:noProof/>
          <w:lang w:eastAsia="pl-PL"/>
        </w:rPr>
        <w:lastRenderedPageBreak/>
        <w:drawing>
          <wp:inline distT="0" distB="0" distL="0" distR="0" wp14:anchorId="45A326D6" wp14:editId="0F8FB28E">
            <wp:extent cx="3079750" cy="1600200"/>
            <wp:effectExtent l="0" t="0" r="6350" b="0"/>
            <wp:docPr id="911915962" name="Picture 2" descr="A close-up of a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15962" name="Picture 2" descr="A close-up of a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625">
        <w:rPr>
          <w:noProof/>
          <w:lang w:eastAsia="pl-PL"/>
        </w:rPr>
        <w:drawing>
          <wp:inline distT="0" distB="0" distL="0" distR="0" wp14:anchorId="1F15B0BE" wp14:editId="3F497F1E">
            <wp:extent cx="1733550" cy="2070100"/>
            <wp:effectExtent l="0" t="0" r="0" b="6350"/>
            <wp:docPr id="969782075" name="Picture 1" descr="A close-up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82075" name="Picture 1" descr="A close-up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22C11" w14:textId="77777777" w:rsidR="00D671E4" w:rsidRDefault="00D671E4" w:rsidP="00A9226B">
      <w:pPr>
        <w:tabs>
          <w:tab w:val="clear" w:pos="567"/>
        </w:tabs>
        <w:spacing w:line="240" w:lineRule="auto"/>
      </w:pPr>
    </w:p>
    <w:p w14:paraId="7BCB69B4" w14:textId="77777777" w:rsidR="00D671E4" w:rsidRDefault="00D671E4" w:rsidP="00A9226B">
      <w:pPr>
        <w:tabs>
          <w:tab w:val="clear" w:pos="567"/>
        </w:tabs>
        <w:spacing w:line="240" w:lineRule="auto"/>
      </w:pPr>
    </w:p>
    <w:p w14:paraId="792D458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7D566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228206" w14:textId="77777777" w:rsidR="00C114FF" w:rsidRDefault="008C5469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36E13D4B" w14:textId="77777777" w:rsidR="00D671E4" w:rsidRPr="00BE15AB" w:rsidRDefault="00D671E4" w:rsidP="00B13B6D">
      <w:pPr>
        <w:pStyle w:val="Style1"/>
      </w:pPr>
    </w:p>
    <w:p w14:paraId="5E555650" w14:textId="77777777" w:rsidR="00D671E4" w:rsidRDefault="00D671E4" w:rsidP="00D671E4">
      <w:pPr>
        <w:tabs>
          <w:tab w:val="clear" w:pos="567"/>
        </w:tabs>
        <w:spacing w:line="240" w:lineRule="auto"/>
      </w:pPr>
      <w:r w:rsidRPr="00466625">
        <w:t xml:space="preserve">Podawanie produktu do ucha w dawkach sięgających pięciokrotności dawki zalecanej w odstępach dwutygodniowych przez łącznie trzy cykle leczenia było generalnie dobrze tolerowane.  </w:t>
      </w:r>
    </w:p>
    <w:p w14:paraId="2827BEE1" w14:textId="77777777" w:rsidR="00137AAE" w:rsidRPr="00466625" w:rsidRDefault="00137AAE" w:rsidP="00D671E4">
      <w:pPr>
        <w:tabs>
          <w:tab w:val="clear" w:pos="567"/>
        </w:tabs>
        <w:spacing w:line="240" w:lineRule="auto"/>
        <w:rPr>
          <w:szCs w:val="22"/>
        </w:rPr>
      </w:pPr>
    </w:p>
    <w:p w14:paraId="0ADD2457" w14:textId="77777777" w:rsidR="00D671E4" w:rsidRPr="00466625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Najwyraźniejsze z zaobserwowanych efektów działania były związane z działaniem podanego glikokortykosteroidu; konkretnie zaś stwierdzone objawy obejmowały: zahamowanie odpowiedzi kory nadnerczy na stymulację ACTH, zmniejszenie masy nadnerczy i zanik kory nadnerczy, zmniejszenie bezwzględnej liczby limfocytów i eozynofili w krwi obwodowej, zwiększenie bezwzględnej liczby neutrofili w krwi obwodowej, zwiększenie masy wątroby z towarzyszącym powiększeniem komórek wątrobowych/zmianami w cytoplazmie, a także zmniejszenie masy grasicy. Inne efekty działania potencjalnie związane z zastosowanym leczeniem obejmowały łagodne zmiany aktywności aminotransferazy asparaginianowej (AspAT), stężenia białka całkowitego, cholesterolu, fosforu nieorganicznego, kreatyniny i wapnia. Po 3 cotygodniowych podaniach dawek sięgających pięciokrotności dawki zalecanej badany produkt indukował niewielki rumień w jednym uchu lub obu uszach, który zanikał w ciągu 48 godzin. </w:t>
      </w:r>
    </w:p>
    <w:p w14:paraId="14E2DD1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D1B9C" w14:textId="79F92D0D" w:rsidR="009A6509" w:rsidRDefault="008C5469" w:rsidP="00D671E4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73650BEA" w14:textId="77777777" w:rsidR="00D671E4" w:rsidRPr="00BE15AB" w:rsidRDefault="00D671E4" w:rsidP="00D671E4">
      <w:pPr>
        <w:pStyle w:val="Style1"/>
      </w:pPr>
    </w:p>
    <w:p w14:paraId="0689102F" w14:textId="3A4501B4" w:rsidR="009A6509" w:rsidRPr="00137AAE" w:rsidRDefault="006E2300" w:rsidP="009A6509">
      <w:pPr>
        <w:tabs>
          <w:tab w:val="clear" w:pos="567"/>
        </w:tabs>
        <w:spacing w:line="240" w:lineRule="auto"/>
        <w:rPr>
          <w:szCs w:val="22"/>
        </w:rPr>
      </w:pPr>
      <w:r w:rsidRPr="00137AAE">
        <w:t xml:space="preserve"> </w:t>
      </w:r>
      <w:r w:rsidR="00137AAE" w:rsidRPr="00532048">
        <w:t>Do podawania przez lekarza weterynarii lub pod jego ścisłym nadzorem.</w:t>
      </w:r>
    </w:p>
    <w:p w14:paraId="533E8CC0" w14:textId="77777777" w:rsidR="009A6509" w:rsidRPr="00137AAE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1AA8C00" w14:textId="77777777" w:rsidR="00C114FF" w:rsidRPr="00BE15AB" w:rsidRDefault="008C5469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26C9A53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D3A77D" w14:textId="2AA056F2" w:rsidR="00C114FF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121F3C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23871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C3653" w14:textId="51D683DD" w:rsidR="00C114FF" w:rsidRPr="00BE15AB" w:rsidRDefault="008C5469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4ACCB783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B05BAD" w14:textId="4919546F" w:rsidR="00D671E4" w:rsidRPr="00532048" w:rsidRDefault="008C5469" w:rsidP="00D671E4">
      <w:pPr>
        <w:rPr>
          <w:b/>
          <w:bCs/>
        </w:rPr>
      </w:pPr>
      <w:r w:rsidRPr="00D671E4">
        <w:rPr>
          <w:b/>
          <w:bCs/>
        </w:rPr>
        <w:t>4.1</w:t>
      </w:r>
      <w:r w:rsidRPr="00D671E4">
        <w:rPr>
          <w:b/>
          <w:bCs/>
        </w:rPr>
        <w:tab/>
        <w:t>Kod ATCvet:</w:t>
      </w:r>
      <w:r w:rsidR="00D671E4" w:rsidRPr="00D671E4">
        <w:rPr>
          <w:b/>
          <w:bCs/>
        </w:rPr>
        <w:t xml:space="preserve"> </w:t>
      </w:r>
      <w:r w:rsidR="00D671E4" w:rsidRPr="00532048">
        <w:rPr>
          <w:szCs w:val="22"/>
        </w:rPr>
        <w:t>QS02CA91</w:t>
      </w:r>
    </w:p>
    <w:p w14:paraId="29E7805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49753" w14:textId="55C29ED7" w:rsidR="00C114FF" w:rsidRDefault="008C5469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220E447E" w14:textId="77777777" w:rsidR="00D671E4" w:rsidRPr="00BE15AB" w:rsidRDefault="00D671E4" w:rsidP="00B13B6D">
      <w:pPr>
        <w:pStyle w:val="Style1"/>
      </w:pPr>
    </w:p>
    <w:p w14:paraId="0869052D" w14:textId="045F2572" w:rsidR="00D671E4" w:rsidRDefault="00D671E4" w:rsidP="00D671E4">
      <w:pPr>
        <w:tabs>
          <w:tab w:val="clear" w:pos="567"/>
        </w:tabs>
        <w:spacing w:line="240" w:lineRule="auto"/>
      </w:pPr>
      <w:r w:rsidRPr="00466625">
        <w:t xml:space="preserve">Ten weterynaryjny </w:t>
      </w:r>
      <w:r w:rsidR="006E2300" w:rsidRPr="00466625">
        <w:t xml:space="preserve">produkt leczniczy </w:t>
      </w:r>
      <w:r w:rsidRPr="00466625">
        <w:t>jest preparatem złożonym zawierającym trzy substancje czynne (kortykosteroid, środek przeciwgrzybiczy i antybiotyk).</w:t>
      </w:r>
    </w:p>
    <w:p w14:paraId="092919C2" w14:textId="77777777" w:rsidR="00137AAE" w:rsidRPr="00466625" w:rsidRDefault="00137AAE" w:rsidP="00D671E4">
      <w:pPr>
        <w:tabs>
          <w:tab w:val="clear" w:pos="567"/>
        </w:tabs>
        <w:spacing w:line="240" w:lineRule="auto"/>
        <w:rPr>
          <w:szCs w:val="22"/>
        </w:rPr>
      </w:pPr>
    </w:p>
    <w:p w14:paraId="3FF84C1D" w14:textId="77777777" w:rsidR="00D671E4" w:rsidRDefault="00D671E4" w:rsidP="00D671E4">
      <w:pPr>
        <w:tabs>
          <w:tab w:val="clear" w:pos="567"/>
        </w:tabs>
        <w:spacing w:line="240" w:lineRule="auto"/>
      </w:pPr>
      <w:r w:rsidRPr="00466625">
        <w:rPr>
          <w:b/>
          <w:szCs w:val="22"/>
        </w:rPr>
        <w:t>Furoinian mometazonu</w:t>
      </w:r>
      <w:r w:rsidRPr="00466625">
        <w:t xml:space="preserve"> to silnie działający kortykosteroid. Jak inne kortykosteroidy, wykazuje on działanie przeciwzapalne i przeciwświądowe.</w:t>
      </w:r>
    </w:p>
    <w:p w14:paraId="15DD8E95" w14:textId="77777777" w:rsidR="00137AAE" w:rsidRPr="00466625" w:rsidRDefault="00137AAE" w:rsidP="00D671E4">
      <w:pPr>
        <w:tabs>
          <w:tab w:val="clear" w:pos="567"/>
        </w:tabs>
        <w:spacing w:line="240" w:lineRule="auto"/>
        <w:rPr>
          <w:szCs w:val="22"/>
        </w:rPr>
      </w:pPr>
    </w:p>
    <w:p w14:paraId="3D9F15FC" w14:textId="512C2BBA" w:rsidR="00D671E4" w:rsidRPr="00137AAE" w:rsidRDefault="00D671E4" w:rsidP="00D671E4">
      <w:pPr>
        <w:tabs>
          <w:tab w:val="clear" w:pos="567"/>
        </w:tabs>
        <w:spacing w:line="240" w:lineRule="auto"/>
      </w:pPr>
      <w:r w:rsidRPr="00466625">
        <w:rPr>
          <w:b/>
          <w:szCs w:val="22"/>
        </w:rPr>
        <w:t>Chlorowodorek terbinafiny</w:t>
      </w:r>
      <w:r w:rsidRPr="00466625">
        <w:t xml:space="preserve"> to alliloamina o silnym działaniu przeciwgrzybiczym. Wybiórczo hamuje ona wczesny etap syntezy ergosterolu będącego niezbędnym składnikiem błon komórkowych drożdżaków i grzybów, w tym drożdżaków z gatunku </w:t>
      </w:r>
      <w:r w:rsidRPr="00466625">
        <w:rPr>
          <w:i/>
          <w:szCs w:val="22"/>
        </w:rPr>
        <w:t>Malassezia pachydermatis</w:t>
      </w:r>
      <w:r w:rsidRPr="00466625">
        <w:t xml:space="preserve"> (MIC</w:t>
      </w:r>
      <w:r w:rsidRPr="00466625">
        <w:rPr>
          <w:szCs w:val="22"/>
          <w:vertAlign w:val="subscript"/>
        </w:rPr>
        <w:t>90</w:t>
      </w:r>
      <w:r w:rsidRPr="00466625">
        <w:t xml:space="preserve"> = 1 </w:t>
      </w:r>
      <w:r w:rsidR="00137AAE">
        <w:t>mcg</w:t>
      </w:r>
      <w:r w:rsidRPr="00466625">
        <w:t>/ml). Chlorowodorek terbinafiny ma inny mechanizm działania od azolowych leków przeciwgrzybiczych, w związku z czym nie wykazuje oporności krzyżowej z tymi lekami.</w:t>
      </w:r>
      <w:r w:rsidR="00137AAE">
        <w:t xml:space="preserve"> </w:t>
      </w:r>
      <w:r w:rsidRPr="00D310DF">
        <w:rPr>
          <w:szCs w:val="22"/>
        </w:rPr>
        <w:t>W</w:t>
      </w:r>
      <w:r w:rsidRPr="00EA47A3">
        <w:rPr>
          <w:szCs w:val="22"/>
        </w:rPr>
        <w:t xml:space="preserve"> przypadku</w:t>
      </w:r>
      <w:r>
        <w:rPr>
          <w:szCs w:val="22"/>
        </w:rPr>
        <w:t xml:space="preserve"> szczepów </w:t>
      </w:r>
      <w:r w:rsidRPr="001D54F4">
        <w:rPr>
          <w:i/>
          <w:szCs w:val="22"/>
        </w:rPr>
        <w:t>Malassezia pachydermatis</w:t>
      </w:r>
      <w:r>
        <w:rPr>
          <w:szCs w:val="22"/>
        </w:rPr>
        <w:t xml:space="preserve"> które tworzą biofilm o</w:t>
      </w:r>
      <w:r w:rsidRPr="00EA47A3">
        <w:rPr>
          <w:szCs w:val="22"/>
        </w:rPr>
        <w:t xml:space="preserve">dnotowano zmniejszoną wrażliwość </w:t>
      </w:r>
      <w:r w:rsidRPr="00D310DF">
        <w:rPr>
          <w:i/>
          <w:szCs w:val="22"/>
        </w:rPr>
        <w:t>in vitro</w:t>
      </w:r>
      <w:r w:rsidRPr="00EA47A3">
        <w:rPr>
          <w:szCs w:val="22"/>
        </w:rPr>
        <w:t xml:space="preserve"> na terbinafinę</w:t>
      </w:r>
      <w:r>
        <w:rPr>
          <w:szCs w:val="22"/>
        </w:rPr>
        <w:t>.</w:t>
      </w:r>
      <w:r w:rsidRPr="00EA47A3">
        <w:rPr>
          <w:szCs w:val="22"/>
        </w:rPr>
        <w:t xml:space="preserve"> </w:t>
      </w:r>
    </w:p>
    <w:p w14:paraId="7C06B78C" w14:textId="77777777" w:rsidR="00137AAE" w:rsidRPr="00ED71D3" w:rsidRDefault="00137AAE" w:rsidP="00D671E4">
      <w:pPr>
        <w:tabs>
          <w:tab w:val="clear" w:pos="567"/>
        </w:tabs>
        <w:spacing w:line="240" w:lineRule="auto"/>
        <w:rPr>
          <w:szCs w:val="22"/>
        </w:rPr>
      </w:pPr>
    </w:p>
    <w:p w14:paraId="1B1B3ADE" w14:textId="736B278D" w:rsidR="00D671E4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CD1D7A">
        <w:rPr>
          <w:b/>
          <w:szCs w:val="22"/>
        </w:rPr>
        <w:t>Florfenikol</w:t>
      </w:r>
      <w:r w:rsidRPr="00CD1D7A">
        <w:t xml:space="preserve"> to antybiotyk bakteriostatyczny, którego mechanizm działania polega na hamowaniu syntezy białek</w:t>
      </w:r>
      <w:r w:rsidRPr="00D310DF">
        <w:t xml:space="preserve"> poprzez wiązanie i działanie na podjednostkę rybosomalną 50S bakterii</w:t>
      </w:r>
      <w:r w:rsidRPr="00ED71D3">
        <w:rPr>
          <w:rFonts w:cs="Verdana"/>
          <w:bCs/>
          <w:iCs/>
        </w:rPr>
        <w:t>.</w:t>
      </w:r>
      <w:r w:rsidRPr="00D310DF">
        <w:rPr>
          <w:rFonts w:cs="Verdana"/>
          <w:bCs/>
          <w:iCs/>
        </w:rPr>
        <w:t xml:space="preserve"> </w:t>
      </w:r>
      <w:r>
        <w:t xml:space="preserve">Jego spektrum działania obejmuje bakterie Gram-dodatnie i Gram-ujemne, w tym </w:t>
      </w:r>
      <w:r w:rsidRPr="002009D4">
        <w:rPr>
          <w:i/>
        </w:rPr>
        <w:t>Staphylococcus pseudintermedius</w:t>
      </w:r>
      <w:r>
        <w:t xml:space="preserve"> (MIC90 = 2 </w:t>
      </w:r>
      <w:r w:rsidR="00137AAE">
        <w:t>mcg</w:t>
      </w:r>
      <w:r>
        <w:t xml:space="preserve">/ml). </w:t>
      </w:r>
      <w:r w:rsidRPr="00D310DF">
        <w:rPr>
          <w:szCs w:val="22"/>
        </w:rPr>
        <w:t xml:space="preserve">Aktywność </w:t>
      </w:r>
      <w:r w:rsidRPr="00D310DF">
        <w:rPr>
          <w:i/>
          <w:szCs w:val="22"/>
        </w:rPr>
        <w:t xml:space="preserve">in vitro </w:t>
      </w:r>
      <w:r w:rsidRPr="00D310DF">
        <w:rPr>
          <w:szCs w:val="22"/>
        </w:rPr>
        <w:t xml:space="preserve">florfenikolu wobec </w:t>
      </w:r>
      <w:r w:rsidRPr="00D310DF">
        <w:rPr>
          <w:i/>
          <w:szCs w:val="22"/>
        </w:rPr>
        <w:t>Pseudomonas spp.</w:t>
      </w:r>
      <w:r>
        <w:rPr>
          <w:i/>
          <w:szCs w:val="22"/>
        </w:rPr>
        <w:t xml:space="preserve"> </w:t>
      </w:r>
      <w:r>
        <w:rPr>
          <w:szCs w:val="22"/>
        </w:rPr>
        <w:t xml:space="preserve">jest niska </w:t>
      </w:r>
      <w:r w:rsidRPr="00D310DF">
        <w:rPr>
          <w:szCs w:val="22"/>
        </w:rPr>
        <w:t>(MIC</w:t>
      </w:r>
      <w:r w:rsidRPr="00D310DF">
        <w:rPr>
          <w:szCs w:val="22"/>
          <w:vertAlign w:val="subscript"/>
        </w:rPr>
        <w:t>90</w:t>
      </w:r>
      <w:r w:rsidRPr="00D310DF">
        <w:rPr>
          <w:szCs w:val="22"/>
        </w:rPr>
        <w:t xml:space="preserve"> &gt; 128 </w:t>
      </w:r>
      <w:r w:rsidR="00137AAE">
        <w:rPr>
          <w:rFonts w:cs="Verdana"/>
          <w:bCs/>
          <w:iCs/>
          <w:lang w:val="fi-FI"/>
        </w:rPr>
        <w:t>mcg</w:t>
      </w:r>
      <w:r w:rsidRPr="00D310DF">
        <w:rPr>
          <w:szCs w:val="22"/>
        </w:rPr>
        <w:t>/ml).</w:t>
      </w:r>
    </w:p>
    <w:p w14:paraId="1BFACCA3" w14:textId="77777777" w:rsidR="00137AAE" w:rsidRPr="000D6380" w:rsidRDefault="00137AAE" w:rsidP="00D671E4">
      <w:pPr>
        <w:tabs>
          <w:tab w:val="clear" w:pos="567"/>
        </w:tabs>
        <w:spacing w:line="240" w:lineRule="auto"/>
      </w:pPr>
    </w:p>
    <w:p w14:paraId="7EAE13B6" w14:textId="70D946BA" w:rsidR="00D671E4" w:rsidRPr="00CD1D7A" w:rsidRDefault="00D671E4" w:rsidP="00D671E4">
      <w:pPr>
        <w:tabs>
          <w:tab w:val="clear" w:pos="567"/>
          <w:tab w:val="left" w:pos="708"/>
        </w:tabs>
        <w:spacing w:line="240" w:lineRule="auto"/>
      </w:pPr>
      <w:r w:rsidRPr="006B7F7C">
        <w:rPr>
          <w:szCs w:val="22"/>
        </w:rPr>
        <w:t xml:space="preserve">Geny oporności na florfenikol wykryte u gronkowców </w:t>
      </w:r>
      <w:r>
        <w:rPr>
          <w:szCs w:val="22"/>
        </w:rPr>
        <w:t>zawierają</w:t>
      </w:r>
      <w:r w:rsidRPr="006B7F7C">
        <w:rPr>
          <w:szCs w:val="22"/>
        </w:rPr>
        <w:t xml:space="preserve"> </w:t>
      </w:r>
      <w:r w:rsidRPr="00D310DF">
        <w:rPr>
          <w:i/>
          <w:szCs w:val="22"/>
        </w:rPr>
        <w:t>cfr</w:t>
      </w:r>
      <w:r w:rsidRPr="006B7F7C">
        <w:rPr>
          <w:szCs w:val="22"/>
        </w:rPr>
        <w:t xml:space="preserve"> i </w:t>
      </w:r>
      <w:r w:rsidRPr="00D310DF">
        <w:rPr>
          <w:i/>
          <w:szCs w:val="22"/>
        </w:rPr>
        <w:t>fexA</w:t>
      </w:r>
      <w:r w:rsidRPr="006B7F7C">
        <w:rPr>
          <w:szCs w:val="22"/>
        </w:rPr>
        <w:t xml:space="preserve">. </w:t>
      </w:r>
      <w:r w:rsidRPr="00D310DF">
        <w:rPr>
          <w:i/>
          <w:szCs w:val="22"/>
        </w:rPr>
        <w:t>Cfr</w:t>
      </w:r>
      <w:r w:rsidRPr="006B7F7C">
        <w:rPr>
          <w:szCs w:val="22"/>
        </w:rPr>
        <w:t xml:space="preserve"> modyfikuje RNA w miejscu wiązania leku (powodując </w:t>
      </w:r>
      <w:r>
        <w:rPr>
          <w:szCs w:val="22"/>
        </w:rPr>
        <w:t>zmniejszenie powinowactwa</w:t>
      </w:r>
      <w:r w:rsidRPr="006B7F7C">
        <w:rPr>
          <w:szCs w:val="22"/>
        </w:rPr>
        <w:t xml:space="preserve"> do chloramfenikolu</w:t>
      </w:r>
      <w:r>
        <w:rPr>
          <w:szCs w:val="22"/>
        </w:rPr>
        <w:t>, florfenikolu oraz klindamycyny) i</w:t>
      </w:r>
      <w:r w:rsidRPr="006B7F7C">
        <w:rPr>
          <w:szCs w:val="22"/>
        </w:rPr>
        <w:t xml:space="preserve"> gen </w:t>
      </w:r>
      <w:r w:rsidRPr="00D310DF">
        <w:rPr>
          <w:i/>
          <w:szCs w:val="22"/>
        </w:rPr>
        <w:t>cfr</w:t>
      </w:r>
      <w:r w:rsidRPr="006B7F7C">
        <w:rPr>
          <w:szCs w:val="22"/>
        </w:rPr>
        <w:t xml:space="preserve"> może być obecny w plazmidach lub innych elementach </w:t>
      </w:r>
      <w:r>
        <w:rPr>
          <w:szCs w:val="22"/>
        </w:rPr>
        <w:t>ruchomych</w:t>
      </w:r>
      <w:r w:rsidRPr="006B7F7C">
        <w:rPr>
          <w:szCs w:val="22"/>
        </w:rPr>
        <w:t xml:space="preserve">. </w:t>
      </w:r>
      <w:r w:rsidRPr="00D310DF">
        <w:rPr>
          <w:i/>
          <w:szCs w:val="22"/>
        </w:rPr>
        <w:t xml:space="preserve">FexA </w:t>
      </w:r>
      <w:r>
        <w:rPr>
          <w:szCs w:val="22"/>
        </w:rPr>
        <w:t xml:space="preserve">koduje związany </w:t>
      </w:r>
      <w:r w:rsidRPr="00D310DF">
        <w:rPr>
          <w:szCs w:val="22"/>
        </w:rPr>
        <w:t>z błoną system wyrzutu leków z komórki (wpływający zarówno na wyrzut florfenikolu, jak i chloramfenikolu) i występuje w chromosomach, a także w plazmidach.</w:t>
      </w:r>
    </w:p>
    <w:p w14:paraId="607F22DB" w14:textId="77777777" w:rsidR="00D671E4" w:rsidRPr="00BE15AB" w:rsidRDefault="00D671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D86C1E" w14:textId="1583E2CF" w:rsidR="00C114FF" w:rsidRDefault="008C5469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61DDB3BD" w14:textId="77777777" w:rsidR="00D671E4" w:rsidRPr="00BE15AB" w:rsidRDefault="00D671E4" w:rsidP="00B13B6D">
      <w:pPr>
        <w:pStyle w:val="Style1"/>
      </w:pPr>
    </w:p>
    <w:p w14:paraId="07A4CB5D" w14:textId="5A7B4D2C" w:rsidR="00D671E4" w:rsidRDefault="00D671E4" w:rsidP="00D671E4">
      <w:pPr>
        <w:tabs>
          <w:tab w:val="clear" w:pos="567"/>
        </w:tabs>
        <w:spacing w:line="240" w:lineRule="auto"/>
      </w:pPr>
      <w:r w:rsidRPr="00466625">
        <w:t>Wchłanianie do krążenia ogólnego każdej z trzech substancji czynnych oznaczono po jednorazowym</w:t>
      </w:r>
      <w:r>
        <w:t>,</w:t>
      </w:r>
      <w:r w:rsidRPr="00466625">
        <w:t xml:space="preserve"> jednoczesnym podaniu do jednego przewodu słuchowego u zdrowych psów rasy beagle. Średnie wartości maksymalnego stężenia w osoczu (C</w:t>
      </w:r>
      <w:r w:rsidRPr="00466625">
        <w:rPr>
          <w:szCs w:val="22"/>
          <w:vertAlign w:val="subscript"/>
        </w:rPr>
        <w:t>max</w:t>
      </w:r>
      <w:r w:rsidRPr="00466625">
        <w:t>) były niskie i wyniosły 1,73 </w:t>
      </w:r>
      <w:r>
        <w:t>ng/ml</w:t>
      </w:r>
      <w:r w:rsidRPr="00466625">
        <w:t xml:space="preserve"> dla florfenikolu, 0,35 </w:t>
      </w:r>
      <w:r>
        <w:t xml:space="preserve">ng/ml </w:t>
      </w:r>
      <w:r w:rsidRPr="00466625">
        <w:t>dla furoinian</w:t>
      </w:r>
      <w:r w:rsidR="00504371">
        <w:t>u</w:t>
      </w:r>
      <w:r w:rsidRPr="00466625">
        <w:t xml:space="preserve"> mometazonu i 7,83 </w:t>
      </w:r>
      <w:r>
        <w:t xml:space="preserve">ng/ml </w:t>
      </w:r>
      <w:r w:rsidRPr="00466625">
        <w:t>dla chlorowodorku terbinafiny, a wartości t</w:t>
      </w:r>
      <w:r w:rsidRPr="00466625">
        <w:rPr>
          <w:szCs w:val="22"/>
          <w:vertAlign w:val="subscript"/>
        </w:rPr>
        <w:t>max</w:t>
      </w:r>
      <w:r w:rsidRPr="00466625">
        <w:t xml:space="preserve"> wyniosły odpowiednio 24 godziny, 0,5 godziny i 20 godzin od podania. </w:t>
      </w:r>
    </w:p>
    <w:p w14:paraId="51F6E162" w14:textId="77777777" w:rsidR="00137AAE" w:rsidRPr="00466625" w:rsidRDefault="00137AAE" w:rsidP="00D671E4">
      <w:pPr>
        <w:tabs>
          <w:tab w:val="clear" w:pos="567"/>
        </w:tabs>
        <w:spacing w:line="240" w:lineRule="auto"/>
      </w:pPr>
    </w:p>
    <w:p w14:paraId="581A6448" w14:textId="5B995C14" w:rsidR="00D671E4" w:rsidRPr="00ED71D3" w:rsidRDefault="00D671E4" w:rsidP="00D671E4">
      <w:pPr>
        <w:tabs>
          <w:tab w:val="clear" w:pos="567"/>
        </w:tabs>
        <w:spacing w:line="240" w:lineRule="auto"/>
        <w:rPr>
          <w:szCs w:val="22"/>
        </w:rPr>
      </w:pPr>
      <w:r w:rsidRPr="00A76751">
        <w:rPr>
          <w:szCs w:val="22"/>
        </w:rPr>
        <w:t xml:space="preserve">Na stopień wchłaniania przez skórę leków podawanych miejscowo wpływa wiele czynników, w tym ciągłość bariery naskórkowej. Stan zapalny może zwiększać przezskórne wchłanianie </w:t>
      </w:r>
      <w:r w:rsidR="00137AAE" w:rsidRPr="00A76751">
        <w:rPr>
          <w:szCs w:val="22"/>
        </w:rPr>
        <w:t xml:space="preserve">weterynaryjnych </w:t>
      </w:r>
      <w:r w:rsidRPr="00A76751">
        <w:rPr>
          <w:szCs w:val="22"/>
        </w:rPr>
        <w:t xml:space="preserve">produktów leczniczych </w:t>
      </w:r>
      <w:r>
        <w:rPr>
          <w:szCs w:val="22"/>
        </w:rPr>
        <w:t xml:space="preserve">poprzez </w:t>
      </w:r>
      <w:r w:rsidRPr="00ED71D3">
        <w:t xml:space="preserve">skórę </w:t>
      </w:r>
      <w:r>
        <w:t>sąsiadu</w:t>
      </w:r>
      <w:r w:rsidRPr="00ED71D3">
        <w:t>jącą</w:t>
      </w:r>
      <w:r w:rsidRPr="00D310DF">
        <w:t xml:space="preserve"> </w:t>
      </w:r>
      <w:r>
        <w:t>z</w:t>
      </w:r>
      <w:r w:rsidRPr="00D310DF">
        <w:t xml:space="preserve"> zewnętrzn</w:t>
      </w:r>
      <w:r>
        <w:t>ym</w:t>
      </w:r>
      <w:r w:rsidRPr="00D310DF">
        <w:t xml:space="preserve"> otwor</w:t>
      </w:r>
      <w:r>
        <w:t>em</w:t>
      </w:r>
      <w:r w:rsidRPr="00D310DF">
        <w:t xml:space="preserve"> </w:t>
      </w:r>
      <w:r>
        <w:t>przewodu</w:t>
      </w:r>
      <w:r w:rsidRPr="00D310DF">
        <w:t xml:space="preserve"> słuchowego.</w:t>
      </w:r>
    </w:p>
    <w:p w14:paraId="48EE990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7A6B39" w14:textId="77777777" w:rsidR="006E2300" w:rsidRPr="00BE15AB" w:rsidRDefault="006E23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210CB" w14:textId="77777777" w:rsidR="00C114FF" w:rsidRPr="00BE15AB" w:rsidRDefault="008C5469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6FAEE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890CE" w14:textId="77777777" w:rsidR="00C114FF" w:rsidRPr="00BE15AB" w:rsidRDefault="008C5469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0EF7E8D5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284A2C" w14:textId="3F3B2B2B" w:rsidR="00C114FF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Ponieważ nie wykonywano badań dotyczących zgodności, weterynaryjnego produktu leczniczego nie wolno mieszać z innymi weterynaryjnymi produktami leczniczymi.</w:t>
      </w:r>
    </w:p>
    <w:p w14:paraId="1FCCD9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C827C" w14:textId="77777777" w:rsidR="00C114FF" w:rsidRPr="00BE15AB" w:rsidRDefault="008C5469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AE696E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59218D" w14:textId="399E88AC" w:rsidR="00C114FF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137AAE">
        <w:t xml:space="preserve"> </w:t>
      </w:r>
      <w:r w:rsidRPr="00BE15AB">
        <w:t>18 miesięcy</w:t>
      </w:r>
      <w:r w:rsidR="00137AAE">
        <w:t>.</w:t>
      </w:r>
    </w:p>
    <w:p w14:paraId="0168CF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A165B" w14:textId="2D649C16" w:rsidR="00C114FF" w:rsidRPr="00BE15AB" w:rsidRDefault="008C5469" w:rsidP="00B13B6D">
      <w:pPr>
        <w:pStyle w:val="Style1"/>
      </w:pPr>
      <w:r w:rsidRPr="00BE15AB">
        <w:t>5.3</w:t>
      </w:r>
      <w:r w:rsidRPr="00BE15AB">
        <w:tab/>
        <w:t>Specjalne środki ostrożności p</w:t>
      </w:r>
      <w:r w:rsidR="002D6D4A">
        <w:t xml:space="preserve">odczas </w:t>
      </w:r>
      <w:r w:rsidR="002D6D4A" w:rsidRPr="00BE15AB">
        <w:t>przechowywani</w:t>
      </w:r>
      <w:r w:rsidR="002D6D4A">
        <w:t>a</w:t>
      </w:r>
    </w:p>
    <w:p w14:paraId="4598755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DAF04D" w14:textId="30452662" w:rsidR="00C114FF" w:rsidRPr="00BE15AB" w:rsidRDefault="008C5469" w:rsidP="009E66FE">
      <w:pPr>
        <w:pStyle w:val="Style5"/>
      </w:pPr>
      <w:r w:rsidRPr="00BE15AB">
        <w:t>Nie przechowywać w temperaturze powyżej 25</w:t>
      </w:r>
      <w:r w:rsidR="00926591">
        <w:t xml:space="preserve"> </w:t>
      </w:r>
      <w:r w:rsidRPr="00BE15AB">
        <w:t>°C</w:t>
      </w:r>
      <w:r w:rsidR="00D671E4">
        <w:t>.</w:t>
      </w:r>
    </w:p>
    <w:p w14:paraId="75494653" w14:textId="02E13E05" w:rsidR="00C114FF" w:rsidRPr="00532048" w:rsidRDefault="00C114FF" w:rsidP="00D671E4">
      <w:pPr>
        <w:pStyle w:val="Style5"/>
      </w:pPr>
    </w:p>
    <w:p w14:paraId="171BE494" w14:textId="77777777" w:rsidR="00C114FF" w:rsidRPr="00BE15AB" w:rsidRDefault="008C5469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241CB02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79FF1D" w14:textId="77777777" w:rsidR="00D671E4" w:rsidRDefault="00D671E4" w:rsidP="00D671E4">
      <w:pPr>
        <w:keepNext/>
        <w:keepLines/>
        <w:tabs>
          <w:tab w:val="clear" w:pos="567"/>
        </w:tabs>
        <w:spacing w:line="240" w:lineRule="auto"/>
      </w:pPr>
      <w:r w:rsidRPr="00466625">
        <w:t xml:space="preserve">Zasklepiona tubka laminowana jednorazowego użytku </w:t>
      </w:r>
      <w:r>
        <w:t xml:space="preserve">zawierająca 1 ml roztworu </w:t>
      </w:r>
      <w:r w:rsidRPr="00466625">
        <w:t xml:space="preserve">z nasadką polipropylenową i oddzielną dyszą aplikacyjną z LDPE w </w:t>
      </w:r>
      <w:r>
        <w:t xml:space="preserve">przezroczystym, plastikowym </w:t>
      </w:r>
      <w:r w:rsidRPr="00466625">
        <w:t xml:space="preserve">blistrze. </w:t>
      </w:r>
    </w:p>
    <w:p w14:paraId="5C3CD1ED" w14:textId="77777777" w:rsidR="00D671E4" w:rsidRDefault="00D671E4" w:rsidP="00D671E4">
      <w:pPr>
        <w:keepNext/>
        <w:keepLines/>
        <w:tabs>
          <w:tab w:val="clear" w:pos="567"/>
        </w:tabs>
        <w:spacing w:line="240" w:lineRule="auto"/>
      </w:pPr>
    </w:p>
    <w:p w14:paraId="244E5B7F" w14:textId="77777777" w:rsidR="00D671E4" w:rsidRPr="00466625" w:rsidRDefault="00D671E4" w:rsidP="00D671E4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 w:rsidRPr="00466625">
        <w:t xml:space="preserve">Pudełko tekturowe zawierające </w:t>
      </w:r>
      <w:r>
        <w:t xml:space="preserve">1, </w:t>
      </w:r>
      <w:r w:rsidRPr="00466625">
        <w:t>2, 10 lub 20 blistrów.</w:t>
      </w:r>
    </w:p>
    <w:p w14:paraId="5211A24D" w14:textId="77777777" w:rsidR="00D671E4" w:rsidRPr="00BE15AB" w:rsidRDefault="00D671E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FCB86" w14:textId="098C332D" w:rsidR="00D671E4" w:rsidRPr="00D671E4" w:rsidRDefault="008C5469" w:rsidP="00A9226B">
      <w:pPr>
        <w:tabs>
          <w:tab w:val="clear" w:pos="567"/>
        </w:tabs>
        <w:spacing w:line="240" w:lineRule="auto"/>
      </w:pPr>
      <w:r w:rsidRPr="00BE15AB">
        <w:t>Niektóre wielkości opakowań mogą nie być dostępne w obrocie.</w:t>
      </w:r>
    </w:p>
    <w:p w14:paraId="06BB7F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E819" w14:textId="75BD861E" w:rsidR="00C114FF" w:rsidRPr="00BE15AB" w:rsidRDefault="008C5469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CB9E31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49EBA9" w14:textId="2CDFD534" w:rsidR="00FD1E45" w:rsidRPr="00BE15AB" w:rsidRDefault="008C5469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1F92C9F7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D5ADC46" w14:textId="07D468DF" w:rsidR="0078538F" w:rsidRPr="00BE15AB" w:rsidRDefault="008C5469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01C15794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72971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65232" w14:textId="77777777" w:rsidR="00C114FF" w:rsidRPr="00BE15AB" w:rsidRDefault="008C5469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98C21D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2828E1" w14:textId="66172A19" w:rsidR="00C114FF" w:rsidRDefault="00D671E4" w:rsidP="00A9226B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D671E4">
        <w:rPr>
          <w:color w:val="000000"/>
          <w:szCs w:val="22"/>
          <w:lang w:eastAsia="en-GB"/>
        </w:rPr>
        <w:t>Elanco Animal Health GmbH</w:t>
      </w:r>
    </w:p>
    <w:p w14:paraId="55B796D1" w14:textId="77777777" w:rsidR="00D671E4" w:rsidRPr="00D671E4" w:rsidRDefault="00D671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50D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8C9C8" w14:textId="77777777" w:rsidR="00C114FF" w:rsidRPr="00BE15AB" w:rsidRDefault="008C5469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19F1A6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74BBB9" w14:textId="77777777" w:rsidR="00D671E4" w:rsidRP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de-DE"/>
        </w:rPr>
      </w:pPr>
      <w:r w:rsidRPr="00D671E4">
        <w:rPr>
          <w:rFonts w:cs="Verdana"/>
          <w:lang w:val="de-DE"/>
        </w:rPr>
        <w:t>EU/2/19/246/001</w:t>
      </w:r>
      <w:r w:rsidRPr="00D671E4" w:rsidDel="007529DB">
        <w:rPr>
          <w:lang w:val="de-DE"/>
        </w:rPr>
        <w:t xml:space="preserve"> </w:t>
      </w:r>
      <w:r w:rsidRPr="00D671E4">
        <w:rPr>
          <w:color w:val="000000"/>
          <w:szCs w:val="22"/>
          <w:lang w:val="de-DE"/>
        </w:rPr>
        <w:t xml:space="preserve">(2 tubki) </w:t>
      </w:r>
    </w:p>
    <w:p w14:paraId="7D527E25" w14:textId="77777777" w:rsidR="00D671E4" w:rsidRP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de-DE"/>
        </w:rPr>
      </w:pPr>
      <w:r w:rsidRPr="00D671E4">
        <w:rPr>
          <w:rFonts w:cs="Verdana"/>
          <w:lang w:val="de-DE"/>
        </w:rPr>
        <w:t>EU/2/19/246/002</w:t>
      </w:r>
      <w:r w:rsidRPr="00202CE5" w:rsidDel="00EB682B">
        <w:rPr>
          <w:szCs w:val="22"/>
          <w:lang w:val="de-DE"/>
        </w:rPr>
        <w:t xml:space="preserve"> </w:t>
      </w:r>
      <w:r w:rsidRPr="00D671E4">
        <w:rPr>
          <w:color w:val="000000"/>
          <w:szCs w:val="22"/>
          <w:lang w:val="de-DE"/>
        </w:rPr>
        <w:t xml:space="preserve">(10 tubek) </w:t>
      </w:r>
    </w:p>
    <w:p w14:paraId="60BE5EC1" w14:textId="77777777" w:rsidR="00D671E4" w:rsidRPr="00D671E4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de-DE"/>
        </w:rPr>
      </w:pPr>
      <w:r w:rsidRPr="00D671E4">
        <w:rPr>
          <w:rFonts w:cs="Verdana"/>
          <w:lang w:val="de-DE"/>
        </w:rPr>
        <w:t>EU/2/19/246/003</w:t>
      </w:r>
      <w:r w:rsidRPr="00D671E4" w:rsidDel="007529DB">
        <w:rPr>
          <w:lang w:val="de-DE"/>
        </w:rPr>
        <w:t xml:space="preserve"> </w:t>
      </w:r>
      <w:r w:rsidRPr="00D671E4">
        <w:rPr>
          <w:color w:val="000000"/>
          <w:szCs w:val="22"/>
          <w:lang w:val="de-DE"/>
        </w:rPr>
        <w:t>(20 tubek)</w:t>
      </w:r>
    </w:p>
    <w:p w14:paraId="02460223" w14:textId="77777777" w:rsidR="00D671E4" w:rsidRPr="00466625" w:rsidRDefault="00D671E4" w:rsidP="00D671E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E45825">
        <w:rPr>
          <w:color w:val="000000"/>
          <w:szCs w:val="22"/>
        </w:rPr>
        <w:t>EU/2/19/246/00</w:t>
      </w:r>
      <w:r>
        <w:rPr>
          <w:color w:val="000000"/>
          <w:szCs w:val="22"/>
        </w:rPr>
        <w:t>4</w:t>
      </w:r>
      <w:r w:rsidRPr="00E45825">
        <w:rPr>
          <w:color w:val="000000"/>
          <w:szCs w:val="22"/>
        </w:rPr>
        <w:t xml:space="preserve"> (</w:t>
      </w:r>
      <w:r>
        <w:rPr>
          <w:color w:val="000000"/>
          <w:szCs w:val="22"/>
        </w:rPr>
        <w:t>1</w:t>
      </w:r>
      <w:r w:rsidRPr="00E45825">
        <w:rPr>
          <w:color w:val="000000"/>
          <w:szCs w:val="22"/>
        </w:rPr>
        <w:t xml:space="preserve"> tubk</w:t>
      </w:r>
      <w:r>
        <w:rPr>
          <w:color w:val="000000"/>
          <w:szCs w:val="22"/>
        </w:rPr>
        <w:t>a</w:t>
      </w:r>
      <w:r w:rsidRPr="00E45825">
        <w:rPr>
          <w:color w:val="000000"/>
          <w:szCs w:val="22"/>
        </w:rPr>
        <w:t>)</w:t>
      </w:r>
    </w:p>
    <w:p w14:paraId="667EAA0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7996EF" w14:textId="77777777" w:rsidR="00D671E4" w:rsidRPr="00BE15AB" w:rsidRDefault="00D671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4DECA5" w14:textId="77777777" w:rsidR="00C114FF" w:rsidRPr="00BE15AB" w:rsidRDefault="008C5469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5C7C33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57E3C" w14:textId="47F67E94" w:rsidR="00C114FF" w:rsidRPr="00BE15AB" w:rsidRDefault="008C5469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D671E4">
        <w:t xml:space="preserve"> </w:t>
      </w:r>
      <w:r w:rsidR="00D671E4" w:rsidRPr="00D671E4">
        <w:t>10 grudnia 2019</w:t>
      </w:r>
      <w:r w:rsidR="00926591">
        <w:t>.</w:t>
      </w:r>
    </w:p>
    <w:p w14:paraId="06189DDD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CE77F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9E686" w14:textId="2EA45512" w:rsidR="00C114FF" w:rsidRPr="00BE15AB" w:rsidRDefault="008C5469" w:rsidP="00B13B6D">
      <w:pPr>
        <w:pStyle w:val="Style1"/>
      </w:pPr>
      <w:r w:rsidRPr="00BE15AB">
        <w:t>9.</w:t>
      </w:r>
      <w:r w:rsidRPr="00BE15AB">
        <w:tab/>
        <w:t xml:space="preserve">DATA OSTATNIEJ AKTUALIZACJI CHARAKTERYSTYKI </w:t>
      </w:r>
      <w:r w:rsidR="002D6D4A" w:rsidRPr="00BE15AB">
        <w:t>WETER</w:t>
      </w:r>
      <w:r w:rsidR="002D6D4A">
        <w:t>YN</w:t>
      </w:r>
      <w:r w:rsidR="002D6D4A" w:rsidRPr="00BE15AB">
        <w:t xml:space="preserve">ARYJNEGO </w:t>
      </w:r>
      <w:r w:rsidRPr="00BE15AB">
        <w:t xml:space="preserve">PRODUKTU LECZNICZEGO </w:t>
      </w:r>
    </w:p>
    <w:p w14:paraId="4B0D98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9C1BE1" w14:textId="52E4DD8C" w:rsidR="00C114FF" w:rsidRPr="00BE15AB" w:rsidRDefault="007B4257" w:rsidP="00A9226B">
      <w:pPr>
        <w:tabs>
          <w:tab w:val="clear" w:pos="567"/>
        </w:tabs>
        <w:spacing w:line="240" w:lineRule="auto"/>
        <w:rPr>
          <w:szCs w:val="22"/>
        </w:rPr>
      </w:pPr>
      <w:r>
        <w:t>08/2025</w:t>
      </w:r>
    </w:p>
    <w:p w14:paraId="03B59BF5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2CC5EA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19FE2" w14:textId="77777777" w:rsidR="00C114FF" w:rsidRPr="00BE15AB" w:rsidRDefault="008C5469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A4FA74C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D1F4BD" w14:textId="2B5D85E2" w:rsidR="0078538F" w:rsidRPr="00BE15AB" w:rsidRDefault="008C5469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7B8CFF19" w14:textId="77777777" w:rsidR="0078538F" w:rsidRPr="00BE15AB" w:rsidRDefault="0078538F" w:rsidP="0078538F">
      <w:pPr>
        <w:ind w:right="-318"/>
        <w:rPr>
          <w:szCs w:val="22"/>
        </w:rPr>
      </w:pPr>
    </w:p>
    <w:p w14:paraId="6B235219" w14:textId="73F1EDA4" w:rsidR="0078538F" w:rsidRPr="00BE15AB" w:rsidRDefault="008C5469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0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p w14:paraId="061EE131" w14:textId="674548DB" w:rsidR="00C114FF" w:rsidRDefault="00C114FF" w:rsidP="00A9226B">
      <w:pPr>
        <w:tabs>
          <w:tab w:val="clear" w:pos="567"/>
        </w:tabs>
        <w:spacing w:line="240" w:lineRule="auto"/>
      </w:pPr>
    </w:p>
    <w:p w14:paraId="3A9C2870" w14:textId="3565643C" w:rsidR="007B4257" w:rsidRPr="00BE15AB" w:rsidRDefault="007B425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Pozwolenie na dopuszczenie do obrotu wydane przez Komisję Europejską. </w:t>
      </w:r>
    </w:p>
    <w:sectPr w:rsidR="007B4257" w:rsidRPr="00BE15AB" w:rsidSect="00D16130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BD3F" w14:textId="77777777" w:rsidR="002A458A" w:rsidRDefault="002A458A">
      <w:pPr>
        <w:spacing w:line="240" w:lineRule="auto"/>
      </w:pPr>
      <w:r>
        <w:separator/>
      </w:r>
    </w:p>
  </w:endnote>
  <w:endnote w:type="continuationSeparator" w:id="0">
    <w:p w14:paraId="5515D3EB" w14:textId="77777777" w:rsidR="002A458A" w:rsidRDefault="002A4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36C5" w14:textId="2B6EF1A1" w:rsidR="008C5469" w:rsidRPr="00BE15AB" w:rsidRDefault="008C5469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605092">
      <w:rPr>
        <w:rFonts w:ascii="Times New Roman" w:hAnsi="Times New Roman"/>
        <w:noProof/>
      </w:rPr>
      <w:t>23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94DA" w14:textId="77777777" w:rsidR="008C5469" w:rsidRPr="00BE15AB" w:rsidRDefault="008C5469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612B" w14:textId="77777777" w:rsidR="002A458A" w:rsidRDefault="002A458A">
      <w:pPr>
        <w:spacing w:line="240" w:lineRule="auto"/>
      </w:pPr>
      <w:r>
        <w:separator/>
      </w:r>
    </w:p>
  </w:footnote>
  <w:footnote w:type="continuationSeparator" w:id="0">
    <w:p w14:paraId="564D4930" w14:textId="77777777" w:rsidR="002A458A" w:rsidRDefault="002A45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CB4D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4C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41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C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6E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C4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A7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08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B1E7EA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A63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89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E25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4A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8E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68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AD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A65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A2031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994A4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7CAB3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1EEAA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72A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16F4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7F217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DECB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10CB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CE1D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02E4F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5EE6D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15852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20C4C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00A95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EACE7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6F00B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33406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EECE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0A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8A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86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9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0E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2E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0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C7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4E66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6E5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05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0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A7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F8F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2C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A8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88D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15E2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0290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3E76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AE4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78D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2406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F67B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3C2B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DC4A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FE6C0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F61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A2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4A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C2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6C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40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21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EDE26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B20DE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4B8D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6F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C1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6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8F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40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C2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A6EC0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4E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862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8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A0D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5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09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4F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DEAFE7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8C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09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89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4B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08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A4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65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D03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9229B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EA82F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04CB9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BF66B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3AE7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24D4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C270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22BAF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26C0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BDCDDC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926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CD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01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47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88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D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04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2EB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C2025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28EFF22" w:tentative="1">
      <w:start w:val="1"/>
      <w:numFmt w:val="lowerLetter"/>
      <w:lvlText w:val="%2."/>
      <w:lvlJc w:val="left"/>
      <w:pPr>
        <w:ind w:left="1440" w:hanging="360"/>
      </w:pPr>
    </w:lvl>
    <w:lvl w:ilvl="2" w:tplc="4A8EA618" w:tentative="1">
      <w:start w:val="1"/>
      <w:numFmt w:val="lowerRoman"/>
      <w:lvlText w:val="%3."/>
      <w:lvlJc w:val="right"/>
      <w:pPr>
        <w:ind w:left="2160" w:hanging="180"/>
      </w:pPr>
    </w:lvl>
    <w:lvl w:ilvl="3" w:tplc="93EEA87E" w:tentative="1">
      <w:start w:val="1"/>
      <w:numFmt w:val="decimal"/>
      <w:lvlText w:val="%4."/>
      <w:lvlJc w:val="left"/>
      <w:pPr>
        <w:ind w:left="2880" w:hanging="360"/>
      </w:pPr>
    </w:lvl>
    <w:lvl w:ilvl="4" w:tplc="95741C82" w:tentative="1">
      <w:start w:val="1"/>
      <w:numFmt w:val="lowerLetter"/>
      <w:lvlText w:val="%5."/>
      <w:lvlJc w:val="left"/>
      <w:pPr>
        <w:ind w:left="3600" w:hanging="360"/>
      </w:pPr>
    </w:lvl>
    <w:lvl w:ilvl="5" w:tplc="05A037AE" w:tentative="1">
      <w:start w:val="1"/>
      <w:numFmt w:val="lowerRoman"/>
      <w:lvlText w:val="%6."/>
      <w:lvlJc w:val="right"/>
      <w:pPr>
        <w:ind w:left="4320" w:hanging="180"/>
      </w:pPr>
    </w:lvl>
    <w:lvl w:ilvl="6" w:tplc="83E8F0E0" w:tentative="1">
      <w:start w:val="1"/>
      <w:numFmt w:val="decimal"/>
      <w:lvlText w:val="%7."/>
      <w:lvlJc w:val="left"/>
      <w:pPr>
        <w:ind w:left="5040" w:hanging="360"/>
      </w:pPr>
    </w:lvl>
    <w:lvl w:ilvl="7" w:tplc="83AE3FAE" w:tentative="1">
      <w:start w:val="1"/>
      <w:numFmt w:val="lowerLetter"/>
      <w:lvlText w:val="%8."/>
      <w:lvlJc w:val="left"/>
      <w:pPr>
        <w:ind w:left="5760" w:hanging="360"/>
      </w:pPr>
    </w:lvl>
    <w:lvl w:ilvl="8" w:tplc="531E1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48E86F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76AA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DAE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F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0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E07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2B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E0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8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E825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44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EF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A4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25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2C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4B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A3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34437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B9EB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C2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0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6A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85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87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A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68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1CD8CA0C">
      <w:start w:val="1"/>
      <w:numFmt w:val="decimal"/>
      <w:lvlText w:val="%1."/>
      <w:lvlJc w:val="left"/>
      <w:pPr>
        <w:ind w:left="720" w:hanging="360"/>
      </w:pPr>
    </w:lvl>
    <w:lvl w:ilvl="1" w:tplc="D7321DDC" w:tentative="1">
      <w:start w:val="1"/>
      <w:numFmt w:val="lowerLetter"/>
      <w:lvlText w:val="%2."/>
      <w:lvlJc w:val="left"/>
      <w:pPr>
        <w:ind w:left="1440" w:hanging="360"/>
      </w:pPr>
    </w:lvl>
    <w:lvl w:ilvl="2" w:tplc="E72AD724" w:tentative="1">
      <w:start w:val="1"/>
      <w:numFmt w:val="lowerRoman"/>
      <w:lvlText w:val="%3."/>
      <w:lvlJc w:val="right"/>
      <w:pPr>
        <w:ind w:left="2160" w:hanging="180"/>
      </w:pPr>
    </w:lvl>
    <w:lvl w:ilvl="3" w:tplc="0CAEE978" w:tentative="1">
      <w:start w:val="1"/>
      <w:numFmt w:val="decimal"/>
      <w:lvlText w:val="%4."/>
      <w:lvlJc w:val="left"/>
      <w:pPr>
        <w:ind w:left="2880" w:hanging="360"/>
      </w:pPr>
    </w:lvl>
    <w:lvl w:ilvl="4" w:tplc="655C15D0" w:tentative="1">
      <w:start w:val="1"/>
      <w:numFmt w:val="lowerLetter"/>
      <w:lvlText w:val="%5."/>
      <w:lvlJc w:val="left"/>
      <w:pPr>
        <w:ind w:left="3600" w:hanging="360"/>
      </w:pPr>
    </w:lvl>
    <w:lvl w:ilvl="5" w:tplc="53EE67DE" w:tentative="1">
      <w:start w:val="1"/>
      <w:numFmt w:val="lowerRoman"/>
      <w:lvlText w:val="%6."/>
      <w:lvlJc w:val="right"/>
      <w:pPr>
        <w:ind w:left="4320" w:hanging="180"/>
      </w:pPr>
    </w:lvl>
    <w:lvl w:ilvl="6" w:tplc="470873B2" w:tentative="1">
      <w:start w:val="1"/>
      <w:numFmt w:val="decimal"/>
      <w:lvlText w:val="%7."/>
      <w:lvlJc w:val="left"/>
      <w:pPr>
        <w:ind w:left="5040" w:hanging="360"/>
      </w:pPr>
    </w:lvl>
    <w:lvl w:ilvl="7" w:tplc="CD2A4748" w:tentative="1">
      <w:start w:val="1"/>
      <w:numFmt w:val="lowerLetter"/>
      <w:lvlText w:val="%8."/>
      <w:lvlJc w:val="left"/>
      <w:pPr>
        <w:ind w:left="5760" w:hanging="360"/>
      </w:pPr>
    </w:lvl>
    <w:lvl w:ilvl="8" w:tplc="F3583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6BC43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D4CB7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AC9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E0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AF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B42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E3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C3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AE3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9060524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9012826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40412507">
    <w:abstractNumId w:val="33"/>
  </w:num>
  <w:num w:numId="4" w16cid:durableId="2030913376">
    <w:abstractNumId w:val="32"/>
  </w:num>
  <w:num w:numId="5" w16cid:durableId="107815408">
    <w:abstractNumId w:val="13"/>
  </w:num>
  <w:num w:numId="6" w16cid:durableId="1247109801">
    <w:abstractNumId w:val="24"/>
  </w:num>
  <w:num w:numId="7" w16cid:durableId="491339637">
    <w:abstractNumId w:val="19"/>
  </w:num>
  <w:num w:numId="8" w16cid:durableId="706955110">
    <w:abstractNumId w:val="9"/>
  </w:num>
  <w:num w:numId="9" w16cid:durableId="750391930">
    <w:abstractNumId w:val="30"/>
  </w:num>
  <w:num w:numId="10" w16cid:durableId="304042683">
    <w:abstractNumId w:val="31"/>
  </w:num>
  <w:num w:numId="11" w16cid:durableId="363331914">
    <w:abstractNumId w:val="15"/>
  </w:num>
  <w:num w:numId="12" w16cid:durableId="25644741">
    <w:abstractNumId w:val="14"/>
  </w:num>
  <w:num w:numId="13" w16cid:durableId="419957878">
    <w:abstractNumId w:val="3"/>
  </w:num>
  <w:num w:numId="14" w16cid:durableId="382757268">
    <w:abstractNumId w:val="29"/>
  </w:num>
  <w:num w:numId="15" w16cid:durableId="804737080">
    <w:abstractNumId w:val="18"/>
  </w:num>
  <w:num w:numId="16" w16cid:durableId="5178319">
    <w:abstractNumId w:val="34"/>
  </w:num>
  <w:num w:numId="17" w16cid:durableId="1127822037">
    <w:abstractNumId w:val="10"/>
  </w:num>
  <w:num w:numId="18" w16cid:durableId="1122305756">
    <w:abstractNumId w:val="1"/>
  </w:num>
  <w:num w:numId="19" w16cid:durableId="130245442">
    <w:abstractNumId w:val="16"/>
  </w:num>
  <w:num w:numId="20" w16cid:durableId="1148092178">
    <w:abstractNumId w:val="4"/>
  </w:num>
  <w:num w:numId="21" w16cid:durableId="1618872125">
    <w:abstractNumId w:val="8"/>
  </w:num>
  <w:num w:numId="22" w16cid:durableId="1904754697">
    <w:abstractNumId w:val="26"/>
  </w:num>
  <w:num w:numId="23" w16cid:durableId="201402641">
    <w:abstractNumId w:val="35"/>
  </w:num>
  <w:num w:numId="24" w16cid:durableId="10694152">
    <w:abstractNumId w:val="21"/>
  </w:num>
  <w:num w:numId="25" w16cid:durableId="798112970">
    <w:abstractNumId w:val="11"/>
  </w:num>
  <w:num w:numId="26" w16cid:durableId="1865166065">
    <w:abstractNumId w:val="12"/>
  </w:num>
  <w:num w:numId="27" w16cid:durableId="181480283">
    <w:abstractNumId w:val="6"/>
  </w:num>
  <w:num w:numId="28" w16cid:durableId="566762750">
    <w:abstractNumId w:val="7"/>
  </w:num>
  <w:num w:numId="29" w16cid:durableId="89588049">
    <w:abstractNumId w:val="22"/>
  </w:num>
  <w:num w:numId="30" w16cid:durableId="1188258279">
    <w:abstractNumId w:val="37"/>
  </w:num>
  <w:num w:numId="31" w16cid:durableId="1946882478">
    <w:abstractNumId w:val="38"/>
  </w:num>
  <w:num w:numId="32" w16cid:durableId="1123620772">
    <w:abstractNumId w:val="20"/>
  </w:num>
  <w:num w:numId="33" w16cid:durableId="149489064">
    <w:abstractNumId w:val="28"/>
  </w:num>
  <w:num w:numId="34" w16cid:durableId="577522556">
    <w:abstractNumId w:val="23"/>
  </w:num>
  <w:num w:numId="35" w16cid:durableId="41635877">
    <w:abstractNumId w:val="2"/>
  </w:num>
  <w:num w:numId="36" w16cid:durableId="1094595640">
    <w:abstractNumId w:val="5"/>
  </w:num>
  <w:num w:numId="37" w16cid:durableId="1072701815">
    <w:abstractNumId w:val="25"/>
  </w:num>
  <w:num w:numId="38" w16cid:durableId="134567948">
    <w:abstractNumId w:val="17"/>
  </w:num>
  <w:num w:numId="39" w16cid:durableId="1976832115">
    <w:abstractNumId w:val="36"/>
  </w:num>
  <w:num w:numId="40" w16cid:durableId="3288740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A22"/>
    <w:rsid w:val="00003981"/>
    <w:rsid w:val="00021B82"/>
    <w:rsid w:val="00024777"/>
    <w:rsid w:val="00024E21"/>
    <w:rsid w:val="00027100"/>
    <w:rsid w:val="00033A77"/>
    <w:rsid w:val="00036C50"/>
    <w:rsid w:val="000516CD"/>
    <w:rsid w:val="00052D2B"/>
    <w:rsid w:val="00054F55"/>
    <w:rsid w:val="00055801"/>
    <w:rsid w:val="00056102"/>
    <w:rsid w:val="000563FD"/>
    <w:rsid w:val="0005731C"/>
    <w:rsid w:val="00062945"/>
    <w:rsid w:val="000678CD"/>
    <w:rsid w:val="000756EB"/>
    <w:rsid w:val="0007666D"/>
    <w:rsid w:val="00077951"/>
    <w:rsid w:val="00080453"/>
    <w:rsid w:val="0008169A"/>
    <w:rsid w:val="00082200"/>
    <w:rsid w:val="000849E6"/>
    <w:rsid w:val="000860CE"/>
    <w:rsid w:val="00092A37"/>
    <w:rsid w:val="000938A6"/>
    <w:rsid w:val="00096E78"/>
    <w:rsid w:val="00097C1E"/>
    <w:rsid w:val="000A1DF5"/>
    <w:rsid w:val="000A5BB0"/>
    <w:rsid w:val="000B1EDD"/>
    <w:rsid w:val="000B2E88"/>
    <w:rsid w:val="000B7873"/>
    <w:rsid w:val="000C02A1"/>
    <w:rsid w:val="000C1D4F"/>
    <w:rsid w:val="000C3983"/>
    <w:rsid w:val="000C3D0C"/>
    <w:rsid w:val="000C3ED7"/>
    <w:rsid w:val="000C55E6"/>
    <w:rsid w:val="000C687A"/>
    <w:rsid w:val="000C7BE5"/>
    <w:rsid w:val="000D0D6F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78D1"/>
    <w:rsid w:val="001109DF"/>
    <w:rsid w:val="00111185"/>
    <w:rsid w:val="00115782"/>
    <w:rsid w:val="00116BE8"/>
    <w:rsid w:val="0012396C"/>
    <w:rsid w:val="0012466D"/>
    <w:rsid w:val="00124F36"/>
    <w:rsid w:val="00125602"/>
    <w:rsid w:val="00125666"/>
    <w:rsid w:val="00125C80"/>
    <w:rsid w:val="00133631"/>
    <w:rsid w:val="001359C0"/>
    <w:rsid w:val="0013799F"/>
    <w:rsid w:val="00137AAE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5264"/>
    <w:rsid w:val="0017618A"/>
    <w:rsid w:val="00180178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3755"/>
    <w:rsid w:val="001B3F6F"/>
    <w:rsid w:val="001B48EA"/>
    <w:rsid w:val="001B6F4A"/>
    <w:rsid w:val="001B74F6"/>
    <w:rsid w:val="001B77C1"/>
    <w:rsid w:val="001C03FB"/>
    <w:rsid w:val="001C5288"/>
    <w:rsid w:val="001C5B03"/>
    <w:rsid w:val="001D2AA2"/>
    <w:rsid w:val="001D4CE4"/>
    <w:rsid w:val="001D6052"/>
    <w:rsid w:val="001D6D96"/>
    <w:rsid w:val="001E5621"/>
    <w:rsid w:val="001E5B47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3890"/>
    <w:rsid w:val="00214E52"/>
    <w:rsid w:val="002207C0"/>
    <w:rsid w:val="00222E07"/>
    <w:rsid w:val="0022306F"/>
    <w:rsid w:val="0022368F"/>
    <w:rsid w:val="0022380D"/>
    <w:rsid w:val="002245A5"/>
    <w:rsid w:val="00224B93"/>
    <w:rsid w:val="002278C0"/>
    <w:rsid w:val="00227A3F"/>
    <w:rsid w:val="0023676E"/>
    <w:rsid w:val="00237E33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B6B"/>
    <w:rsid w:val="002571A5"/>
    <w:rsid w:val="00263291"/>
    <w:rsid w:val="00265656"/>
    <w:rsid w:val="00265E77"/>
    <w:rsid w:val="00266155"/>
    <w:rsid w:val="002679B9"/>
    <w:rsid w:val="0027270B"/>
    <w:rsid w:val="00274D17"/>
    <w:rsid w:val="00281936"/>
    <w:rsid w:val="00282E7B"/>
    <w:rsid w:val="002838C8"/>
    <w:rsid w:val="00290805"/>
    <w:rsid w:val="00290C2A"/>
    <w:rsid w:val="00291744"/>
    <w:rsid w:val="002931DD"/>
    <w:rsid w:val="00295140"/>
    <w:rsid w:val="00295D33"/>
    <w:rsid w:val="002A097A"/>
    <w:rsid w:val="002A0E7C"/>
    <w:rsid w:val="002A21ED"/>
    <w:rsid w:val="002A3F88"/>
    <w:rsid w:val="002A458A"/>
    <w:rsid w:val="002A5C86"/>
    <w:rsid w:val="002A710D"/>
    <w:rsid w:val="002B0F11"/>
    <w:rsid w:val="002B2E17"/>
    <w:rsid w:val="002B439F"/>
    <w:rsid w:val="002B6560"/>
    <w:rsid w:val="002B79A8"/>
    <w:rsid w:val="002C55FF"/>
    <w:rsid w:val="002C592B"/>
    <w:rsid w:val="002C7845"/>
    <w:rsid w:val="002C7F61"/>
    <w:rsid w:val="002D300D"/>
    <w:rsid w:val="002D6D4A"/>
    <w:rsid w:val="002E073C"/>
    <w:rsid w:val="002E0CD4"/>
    <w:rsid w:val="002E3A90"/>
    <w:rsid w:val="002E46CC"/>
    <w:rsid w:val="002E4F48"/>
    <w:rsid w:val="002E62CB"/>
    <w:rsid w:val="002E6DF1"/>
    <w:rsid w:val="002E6ED9"/>
    <w:rsid w:val="002E782C"/>
    <w:rsid w:val="002F0957"/>
    <w:rsid w:val="002F41AD"/>
    <w:rsid w:val="002F43F6"/>
    <w:rsid w:val="002F6DAA"/>
    <w:rsid w:val="002F71D5"/>
    <w:rsid w:val="003007AF"/>
    <w:rsid w:val="0030180D"/>
    <w:rsid w:val="00301E15"/>
    <w:rsid w:val="003020BB"/>
    <w:rsid w:val="00302266"/>
    <w:rsid w:val="00304393"/>
    <w:rsid w:val="00305AB2"/>
    <w:rsid w:val="0031032B"/>
    <w:rsid w:val="00316E87"/>
    <w:rsid w:val="00322D92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50911"/>
    <w:rsid w:val="003535E0"/>
    <w:rsid w:val="003543AC"/>
    <w:rsid w:val="00355D02"/>
    <w:rsid w:val="00360808"/>
    <w:rsid w:val="00360BA8"/>
    <w:rsid w:val="00366F56"/>
    <w:rsid w:val="003678BB"/>
    <w:rsid w:val="00370A38"/>
    <w:rsid w:val="003737C8"/>
    <w:rsid w:val="0037589D"/>
    <w:rsid w:val="00376BB1"/>
    <w:rsid w:val="00377E23"/>
    <w:rsid w:val="003817E9"/>
    <w:rsid w:val="0038277C"/>
    <w:rsid w:val="0038368B"/>
    <w:rsid w:val="003837F1"/>
    <w:rsid w:val="003841FC"/>
    <w:rsid w:val="0038448D"/>
    <w:rsid w:val="0038638B"/>
    <w:rsid w:val="0038766D"/>
    <w:rsid w:val="003909E0"/>
    <w:rsid w:val="00393E09"/>
    <w:rsid w:val="00394977"/>
    <w:rsid w:val="00395B15"/>
    <w:rsid w:val="00396026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48C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2BBF"/>
    <w:rsid w:val="00453E1D"/>
    <w:rsid w:val="00454589"/>
    <w:rsid w:val="00454C3E"/>
    <w:rsid w:val="00456ED0"/>
    <w:rsid w:val="00457550"/>
    <w:rsid w:val="00457A0D"/>
    <w:rsid w:val="00457B74"/>
    <w:rsid w:val="00461B2A"/>
    <w:rsid w:val="004620A4"/>
    <w:rsid w:val="00474C50"/>
    <w:rsid w:val="004771F9"/>
    <w:rsid w:val="00484015"/>
    <w:rsid w:val="00486006"/>
    <w:rsid w:val="00486BAD"/>
    <w:rsid w:val="00486BBE"/>
    <w:rsid w:val="00487123"/>
    <w:rsid w:val="00495A75"/>
    <w:rsid w:val="00495CAE"/>
    <w:rsid w:val="004967CD"/>
    <w:rsid w:val="00497F40"/>
    <w:rsid w:val="004A1BD5"/>
    <w:rsid w:val="004A61E1"/>
    <w:rsid w:val="004B0028"/>
    <w:rsid w:val="004B1A75"/>
    <w:rsid w:val="004B2344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23A1"/>
    <w:rsid w:val="004E493C"/>
    <w:rsid w:val="004E623E"/>
    <w:rsid w:val="004E7092"/>
    <w:rsid w:val="004E719E"/>
    <w:rsid w:val="004E7ECE"/>
    <w:rsid w:val="004F31DB"/>
    <w:rsid w:val="004F369A"/>
    <w:rsid w:val="004F4DB1"/>
    <w:rsid w:val="004F6F64"/>
    <w:rsid w:val="005004EC"/>
    <w:rsid w:val="00501D0E"/>
    <w:rsid w:val="00502C1A"/>
    <w:rsid w:val="00504371"/>
    <w:rsid w:val="00506AAE"/>
    <w:rsid w:val="00510042"/>
    <w:rsid w:val="00517756"/>
    <w:rsid w:val="005202C6"/>
    <w:rsid w:val="00523C53"/>
    <w:rsid w:val="00526880"/>
    <w:rsid w:val="00527B8F"/>
    <w:rsid w:val="00532048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917"/>
    <w:rsid w:val="00555FB1"/>
    <w:rsid w:val="005560F0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A35E5"/>
    <w:rsid w:val="005A4CBE"/>
    <w:rsid w:val="005A666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380C"/>
    <w:rsid w:val="005D572E"/>
    <w:rsid w:val="005D6E04"/>
    <w:rsid w:val="005D7A12"/>
    <w:rsid w:val="005D7B15"/>
    <w:rsid w:val="005E53EE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5092"/>
    <w:rsid w:val="00606EA1"/>
    <w:rsid w:val="006128F0"/>
    <w:rsid w:val="0061726B"/>
    <w:rsid w:val="00617B81"/>
    <w:rsid w:val="0062144E"/>
    <w:rsid w:val="0062387A"/>
    <w:rsid w:val="00626AA7"/>
    <w:rsid w:val="006326D8"/>
    <w:rsid w:val="0063377D"/>
    <w:rsid w:val="006343DB"/>
    <w:rsid w:val="006344BE"/>
    <w:rsid w:val="00634A66"/>
    <w:rsid w:val="00636575"/>
    <w:rsid w:val="00640336"/>
    <w:rsid w:val="00640FC9"/>
    <w:rsid w:val="006414D3"/>
    <w:rsid w:val="006432F2"/>
    <w:rsid w:val="006471E3"/>
    <w:rsid w:val="0065320F"/>
    <w:rsid w:val="00653D64"/>
    <w:rsid w:val="00654E13"/>
    <w:rsid w:val="0065763C"/>
    <w:rsid w:val="00667489"/>
    <w:rsid w:val="00670972"/>
    <w:rsid w:val="00670D44"/>
    <w:rsid w:val="006721E8"/>
    <w:rsid w:val="00673F4C"/>
    <w:rsid w:val="00676AFC"/>
    <w:rsid w:val="006807CD"/>
    <w:rsid w:val="00682D43"/>
    <w:rsid w:val="00685BAF"/>
    <w:rsid w:val="00687E5C"/>
    <w:rsid w:val="00690463"/>
    <w:rsid w:val="00693DE5"/>
    <w:rsid w:val="006A0D03"/>
    <w:rsid w:val="006A41E9"/>
    <w:rsid w:val="006A7FB3"/>
    <w:rsid w:val="006B12CB"/>
    <w:rsid w:val="006B2030"/>
    <w:rsid w:val="006B2D4A"/>
    <w:rsid w:val="006B464B"/>
    <w:rsid w:val="006B5916"/>
    <w:rsid w:val="006B7FE2"/>
    <w:rsid w:val="006C38AD"/>
    <w:rsid w:val="006C4775"/>
    <w:rsid w:val="006C4F4A"/>
    <w:rsid w:val="006C5E80"/>
    <w:rsid w:val="006C7CEE"/>
    <w:rsid w:val="006D075E"/>
    <w:rsid w:val="006D09DC"/>
    <w:rsid w:val="006D1F66"/>
    <w:rsid w:val="006D3509"/>
    <w:rsid w:val="006D7C6E"/>
    <w:rsid w:val="006E042A"/>
    <w:rsid w:val="006E15A2"/>
    <w:rsid w:val="006E2300"/>
    <w:rsid w:val="006E2F95"/>
    <w:rsid w:val="006F148B"/>
    <w:rsid w:val="006F1C1C"/>
    <w:rsid w:val="00705EAF"/>
    <w:rsid w:val="0070773E"/>
    <w:rsid w:val="007101CC"/>
    <w:rsid w:val="007151CE"/>
    <w:rsid w:val="00715C55"/>
    <w:rsid w:val="00715E45"/>
    <w:rsid w:val="00724E3B"/>
    <w:rsid w:val="00725EEA"/>
    <w:rsid w:val="007276B6"/>
    <w:rsid w:val="00730CE9"/>
    <w:rsid w:val="0073373D"/>
    <w:rsid w:val="0073435E"/>
    <w:rsid w:val="00743589"/>
    <w:rsid w:val="007439DB"/>
    <w:rsid w:val="00746009"/>
    <w:rsid w:val="00750DEA"/>
    <w:rsid w:val="007568D8"/>
    <w:rsid w:val="00765316"/>
    <w:rsid w:val="007708C8"/>
    <w:rsid w:val="0077719D"/>
    <w:rsid w:val="00780DF0"/>
    <w:rsid w:val="007810B7"/>
    <w:rsid w:val="00782BA9"/>
    <w:rsid w:val="00782F0F"/>
    <w:rsid w:val="00783A99"/>
    <w:rsid w:val="0078538F"/>
    <w:rsid w:val="00787482"/>
    <w:rsid w:val="007A0548"/>
    <w:rsid w:val="007A286D"/>
    <w:rsid w:val="007A314D"/>
    <w:rsid w:val="007A38DF"/>
    <w:rsid w:val="007A607E"/>
    <w:rsid w:val="007B00E5"/>
    <w:rsid w:val="007B20CF"/>
    <w:rsid w:val="007B2499"/>
    <w:rsid w:val="007B4257"/>
    <w:rsid w:val="007B72E1"/>
    <w:rsid w:val="007B783A"/>
    <w:rsid w:val="007C1B95"/>
    <w:rsid w:val="007C1D13"/>
    <w:rsid w:val="007C3DF3"/>
    <w:rsid w:val="007C796D"/>
    <w:rsid w:val="007C7AFC"/>
    <w:rsid w:val="007D73FB"/>
    <w:rsid w:val="007D7DC6"/>
    <w:rsid w:val="007E2F2D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0C44"/>
    <w:rsid w:val="0082153D"/>
    <w:rsid w:val="008255AA"/>
    <w:rsid w:val="00830FF3"/>
    <w:rsid w:val="0083317D"/>
    <w:rsid w:val="008334BF"/>
    <w:rsid w:val="00836B8C"/>
    <w:rsid w:val="00840062"/>
    <w:rsid w:val="008410C5"/>
    <w:rsid w:val="008461D9"/>
    <w:rsid w:val="00846C08"/>
    <w:rsid w:val="008530E7"/>
    <w:rsid w:val="00856BDB"/>
    <w:rsid w:val="00857675"/>
    <w:rsid w:val="00861C9B"/>
    <w:rsid w:val="00861E49"/>
    <w:rsid w:val="00863138"/>
    <w:rsid w:val="00866023"/>
    <w:rsid w:val="00872A3E"/>
    <w:rsid w:val="00872C4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4F7F"/>
    <w:rsid w:val="008A5665"/>
    <w:rsid w:val="008B24A8"/>
    <w:rsid w:val="008B25E4"/>
    <w:rsid w:val="008B2917"/>
    <w:rsid w:val="008B3D78"/>
    <w:rsid w:val="008C1A0C"/>
    <w:rsid w:val="008C261B"/>
    <w:rsid w:val="008C4FCA"/>
    <w:rsid w:val="008C5469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21AD"/>
    <w:rsid w:val="00903D0D"/>
    <w:rsid w:val="009048E1"/>
    <w:rsid w:val="0090598C"/>
    <w:rsid w:val="009071BB"/>
    <w:rsid w:val="00913885"/>
    <w:rsid w:val="00915ABF"/>
    <w:rsid w:val="0092134E"/>
    <w:rsid w:val="0092142A"/>
    <w:rsid w:val="00921CAD"/>
    <w:rsid w:val="00926591"/>
    <w:rsid w:val="009311ED"/>
    <w:rsid w:val="00931D41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5676"/>
    <w:rsid w:val="00976467"/>
    <w:rsid w:val="00976D32"/>
    <w:rsid w:val="009844F7"/>
    <w:rsid w:val="00991E86"/>
    <w:rsid w:val="009938F7"/>
    <w:rsid w:val="009943D7"/>
    <w:rsid w:val="009A0421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9F4642"/>
    <w:rsid w:val="00A00C78"/>
    <w:rsid w:val="00A0123E"/>
    <w:rsid w:val="00A0479E"/>
    <w:rsid w:val="00A07979"/>
    <w:rsid w:val="00A11755"/>
    <w:rsid w:val="00A207FB"/>
    <w:rsid w:val="00A24016"/>
    <w:rsid w:val="00A2451B"/>
    <w:rsid w:val="00A265BF"/>
    <w:rsid w:val="00A26F44"/>
    <w:rsid w:val="00A30C8E"/>
    <w:rsid w:val="00A34FAB"/>
    <w:rsid w:val="00A354F7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670F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35B2"/>
    <w:rsid w:val="00AE52D0"/>
    <w:rsid w:val="00AE6AA0"/>
    <w:rsid w:val="00AF394E"/>
    <w:rsid w:val="00AF410C"/>
    <w:rsid w:val="00AF5847"/>
    <w:rsid w:val="00B00CA4"/>
    <w:rsid w:val="00B049E4"/>
    <w:rsid w:val="00B075D6"/>
    <w:rsid w:val="00B07B69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521CD"/>
    <w:rsid w:val="00B52DF7"/>
    <w:rsid w:val="00B60AC9"/>
    <w:rsid w:val="00B645D7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195"/>
    <w:rsid w:val="00BB4CE2"/>
    <w:rsid w:val="00BB5EF0"/>
    <w:rsid w:val="00BB6724"/>
    <w:rsid w:val="00BB7837"/>
    <w:rsid w:val="00BC0EFB"/>
    <w:rsid w:val="00BC2E39"/>
    <w:rsid w:val="00BC5BEF"/>
    <w:rsid w:val="00BD2364"/>
    <w:rsid w:val="00BD28E3"/>
    <w:rsid w:val="00BE117E"/>
    <w:rsid w:val="00BE15AB"/>
    <w:rsid w:val="00BE292E"/>
    <w:rsid w:val="00BE3261"/>
    <w:rsid w:val="00BE792B"/>
    <w:rsid w:val="00BF00EF"/>
    <w:rsid w:val="00BF58FC"/>
    <w:rsid w:val="00C013E2"/>
    <w:rsid w:val="00C01F77"/>
    <w:rsid w:val="00C01FFC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89"/>
    <w:rsid w:val="00C33ADB"/>
    <w:rsid w:val="00C36883"/>
    <w:rsid w:val="00C40928"/>
    <w:rsid w:val="00C40CFF"/>
    <w:rsid w:val="00C42697"/>
    <w:rsid w:val="00C43F01"/>
    <w:rsid w:val="00C4565A"/>
    <w:rsid w:val="00C4717F"/>
    <w:rsid w:val="00C47552"/>
    <w:rsid w:val="00C57A81"/>
    <w:rsid w:val="00C60193"/>
    <w:rsid w:val="00C634D4"/>
    <w:rsid w:val="00C63AA5"/>
    <w:rsid w:val="00C63BA6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2EB7"/>
    <w:rsid w:val="00C840C2"/>
    <w:rsid w:val="00C84101"/>
    <w:rsid w:val="00C8528F"/>
    <w:rsid w:val="00C8535F"/>
    <w:rsid w:val="00C90AF4"/>
    <w:rsid w:val="00C90EDA"/>
    <w:rsid w:val="00C9396B"/>
    <w:rsid w:val="00C959E7"/>
    <w:rsid w:val="00CA0FCF"/>
    <w:rsid w:val="00CC1E65"/>
    <w:rsid w:val="00CC567A"/>
    <w:rsid w:val="00CC7A2F"/>
    <w:rsid w:val="00CD4059"/>
    <w:rsid w:val="00CD4E5A"/>
    <w:rsid w:val="00CD6AFD"/>
    <w:rsid w:val="00CD71A6"/>
    <w:rsid w:val="00CE03CE"/>
    <w:rsid w:val="00CE0F5D"/>
    <w:rsid w:val="00CE1A6A"/>
    <w:rsid w:val="00CE31E9"/>
    <w:rsid w:val="00CF0DFF"/>
    <w:rsid w:val="00CF2BDE"/>
    <w:rsid w:val="00CF581F"/>
    <w:rsid w:val="00D00E81"/>
    <w:rsid w:val="00D028A9"/>
    <w:rsid w:val="00D029BA"/>
    <w:rsid w:val="00D03242"/>
    <w:rsid w:val="00D0359D"/>
    <w:rsid w:val="00D04DED"/>
    <w:rsid w:val="00D07E4E"/>
    <w:rsid w:val="00D101B6"/>
    <w:rsid w:val="00D1089A"/>
    <w:rsid w:val="00D116BD"/>
    <w:rsid w:val="00D15BAD"/>
    <w:rsid w:val="00D16130"/>
    <w:rsid w:val="00D2001A"/>
    <w:rsid w:val="00D20684"/>
    <w:rsid w:val="00D20743"/>
    <w:rsid w:val="00D20908"/>
    <w:rsid w:val="00D26B62"/>
    <w:rsid w:val="00D31B86"/>
    <w:rsid w:val="00D32624"/>
    <w:rsid w:val="00D334BA"/>
    <w:rsid w:val="00D3691A"/>
    <w:rsid w:val="00D3709D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66A54"/>
    <w:rsid w:val="00D671E4"/>
    <w:rsid w:val="00D728A0"/>
    <w:rsid w:val="00D83661"/>
    <w:rsid w:val="00D9216A"/>
    <w:rsid w:val="00D97E7D"/>
    <w:rsid w:val="00DB3439"/>
    <w:rsid w:val="00DB3618"/>
    <w:rsid w:val="00DB468A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07D"/>
    <w:rsid w:val="00DF3EB5"/>
    <w:rsid w:val="00DF4CE9"/>
    <w:rsid w:val="00DF77CF"/>
    <w:rsid w:val="00E026E8"/>
    <w:rsid w:val="00E060F7"/>
    <w:rsid w:val="00E104B2"/>
    <w:rsid w:val="00E14C47"/>
    <w:rsid w:val="00E17CCB"/>
    <w:rsid w:val="00E22698"/>
    <w:rsid w:val="00E25B7C"/>
    <w:rsid w:val="00E3076B"/>
    <w:rsid w:val="00E32881"/>
    <w:rsid w:val="00E33472"/>
    <w:rsid w:val="00E34003"/>
    <w:rsid w:val="00E355E9"/>
    <w:rsid w:val="00E3725B"/>
    <w:rsid w:val="00E434D1"/>
    <w:rsid w:val="00E4706B"/>
    <w:rsid w:val="00E517BA"/>
    <w:rsid w:val="00E5253B"/>
    <w:rsid w:val="00E55290"/>
    <w:rsid w:val="00E56CBB"/>
    <w:rsid w:val="00E61950"/>
    <w:rsid w:val="00E61E51"/>
    <w:rsid w:val="00E63532"/>
    <w:rsid w:val="00E640CA"/>
    <w:rsid w:val="00E6552A"/>
    <w:rsid w:val="00E6707D"/>
    <w:rsid w:val="00E70337"/>
    <w:rsid w:val="00E708EE"/>
    <w:rsid w:val="00E7099C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946A4"/>
    <w:rsid w:val="00EB0E20"/>
    <w:rsid w:val="00EB1A80"/>
    <w:rsid w:val="00EB23C3"/>
    <w:rsid w:val="00EB457B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3927"/>
    <w:rsid w:val="00F26A05"/>
    <w:rsid w:val="00F307CE"/>
    <w:rsid w:val="00F31170"/>
    <w:rsid w:val="00F33B3E"/>
    <w:rsid w:val="00F343C8"/>
    <w:rsid w:val="00F354C5"/>
    <w:rsid w:val="00F37108"/>
    <w:rsid w:val="00F40449"/>
    <w:rsid w:val="00F45B8E"/>
    <w:rsid w:val="00F47BAA"/>
    <w:rsid w:val="00F5049A"/>
    <w:rsid w:val="00F520FE"/>
    <w:rsid w:val="00F52EAB"/>
    <w:rsid w:val="00F55A04"/>
    <w:rsid w:val="00F61A31"/>
    <w:rsid w:val="00F63921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E64B7"/>
    <w:rsid w:val="00FF18D2"/>
    <w:rsid w:val="00FF22F5"/>
    <w:rsid w:val="00FF4664"/>
    <w:rsid w:val="00FF72DB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C952C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91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626AA7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5537A-5227-4257-9B8E-7317C0E2B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A9F82-5436-4938-BC0E-83AABCF72026}"/>
</file>

<file path=customXml/itemProps3.xml><?xml version="1.0" encoding="utf-8"?>
<ds:datastoreItem xmlns:ds="http://schemas.openxmlformats.org/officeDocument/2006/customXml" ds:itemID="{4D359177-0AAC-4AC9-AA94-5735F1F57DE7}"/>
</file>

<file path=customXml/itemProps4.xml><?xml version="1.0" encoding="utf-8"?>
<ds:datastoreItem xmlns:ds="http://schemas.openxmlformats.org/officeDocument/2006/customXml" ds:itemID="{B66D986F-42E1-489C-ABFC-6691514AD6BF}"/>
</file>

<file path=docMetadata/LabelInfo.xml><?xml version="1.0" encoding="utf-8"?>
<clbl:labelList xmlns:clbl="http://schemas.microsoft.com/office/2020/mipLabelMetadata">
  <clbl:label id="{b2d366c9-b4f9-4dc6-8006-c9d363a6d202}" enabled="1" method="Privileged" siteId="{8e41bacc-baba-48d6-9fcb-708bd1208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2443</Words>
  <Characters>13930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Neptra, INN-Florfenicol/Terbinafine hydrochloride/Mometasone furoate</vt:lpstr>
      <vt:lpstr>Neptra, INN-Florfenicol/Terbinafine hydrochloride/Mometasone furoate</vt:lpstr>
    </vt:vector>
  </TitlesOfParts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Neptra, INN-Florfenicol/Terbinafine hydrochloride/Mometasone furoate</dc:title>
  <dc:subject>EPAR</dc:subject>
  <dc:creator>CVMP</dc:creator>
  <cp:lastModifiedBy>ANNA JASINSKA</cp:lastModifiedBy>
  <cp:revision>24</cp:revision>
  <cp:lastPrinted>2022-11-03T08:22:00Z</cp:lastPrinted>
  <dcterms:created xsi:type="dcterms:W3CDTF">2024-07-08T21:34:00Z</dcterms:created>
  <dcterms:modified xsi:type="dcterms:W3CDTF">2025-09-02T08:17:00Z</dcterms:modified>
  <cp:category>Neptra, INN-Florfenicol/Terbinafine hydrochloride/Mometasone furoate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0x010100236AF2C52FBD654CB29725A1976C431B</vt:lpwstr>
  </property>
</Properties>
</file>